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版本号：SZY2025WDZB002A20250611001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2025年暑假学生公寓粉刷项目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SZY2025WDZB002A</w:t>
      </w:r>
      <w:r>
        <w:br/>
      </w:r>
      <w:r>
        <w:br/>
      </w:r>
      <w:r>
        <w:br/>
      </w:r>
    </w:p>
    <w:p>
      <w:pPr>
        <w:pStyle w:val="null3"/>
        <w:jc w:val="center"/>
        <w:outlineLvl w:val="2"/>
      </w:pPr>
      <w:r>
        <w:rPr>
          <w:rFonts w:ascii="仿宋_GB2312" w:hAnsi="仿宋_GB2312" w:cs="仿宋_GB2312" w:eastAsia="仿宋_GB2312"/>
          <w:sz w:val="28"/>
          <w:b/>
        </w:rPr>
        <w:t>陕西中医药大学</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w:t>
      </w:r>
      <w:r>
        <w:rPr>
          <w:rFonts w:ascii="仿宋_GB2312" w:hAnsi="仿宋_GB2312" w:cs="仿宋_GB2312" w:eastAsia="仿宋_GB2312"/>
        </w:rPr>
        <w:t>委托，拟对</w:t>
      </w:r>
      <w:r>
        <w:rPr>
          <w:rFonts w:ascii="仿宋_GB2312" w:hAnsi="仿宋_GB2312" w:cs="仿宋_GB2312" w:eastAsia="仿宋_GB2312"/>
        </w:rPr>
        <w:t>2025年暑假学生公寓粉刷项目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SZY2025WDZB002A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2025年暑假学生公寓粉刷项目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陕西中医药大学学生公寓室内外墙/顶面铲除灰皮、砂纸打磨、刮腻子、粉刷，宿舍架子床搬移并恢复。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1、身份证明文件：供应商应授权合法的人员参加磋商，其中法定代表人直接参加的，须出具法定代表人证明书；被授权人参加的，须出具法定代表人证明书及法定代表人授权书。</w:t>
      </w:r>
    </w:p>
    <w:p>
      <w:pPr>
        <w:pStyle w:val="null3"/>
      </w:pPr>
      <w:r>
        <w:rPr>
          <w:rFonts w:ascii="仿宋_GB2312" w:hAnsi="仿宋_GB2312" w:cs="仿宋_GB2312" w:eastAsia="仿宋_GB2312"/>
        </w:rPr>
        <w:t>2、企业资质：须具备建筑工程施工总承包三级及以上或建筑装修装饰工程专业承包二级及以上资质。</w:t>
      </w:r>
    </w:p>
    <w:p>
      <w:pPr>
        <w:pStyle w:val="null3"/>
      </w:pPr>
      <w:r>
        <w:rPr>
          <w:rFonts w:ascii="仿宋_GB2312" w:hAnsi="仿宋_GB2312" w:cs="仿宋_GB2312" w:eastAsia="仿宋_GB2312"/>
        </w:rPr>
        <w:t>3、安全生产许可证：具备有效的安全生产许可证。</w:t>
      </w:r>
    </w:p>
    <w:p>
      <w:pPr>
        <w:pStyle w:val="null3"/>
      </w:pPr>
      <w:r>
        <w:rPr>
          <w:rFonts w:ascii="仿宋_GB2312" w:hAnsi="仿宋_GB2312" w:cs="仿宋_GB2312" w:eastAsia="仿宋_GB2312"/>
        </w:rPr>
        <w:t>4、项目经理资质：拟派项目经理具有建筑工程专业二级及以上注册建造师资格及有效的安全生产考核合格证书（建安 B 证），且在本单位注册，未担任其它在建工程的项目经理。同时提供项目经理自2025年01月01日至今任意1个月在本单位缴纳的社会保险证明资料。</w:t>
      </w:r>
    </w:p>
    <w:p>
      <w:pPr>
        <w:pStyle w:val="null3"/>
      </w:pPr>
      <w:r>
        <w:rPr>
          <w:rFonts w:ascii="仿宋_GB2312" w:hAnsi="仿宋_GB2312" w:cs="仿宋_GB2312" w:eastAsia="仿宋_GB2312"/>
        </w:rPr>
        <w:t>5、外地企业提供在“陕西省建筑市场监管与诚信信息发布平台”上登记的基本信息界面截图：外地企业提供在“陕西省建筑市场监管与诚信信息发布平台”上登记的基本信息界面截图。</w:t>
      </w:r>
    </w:p>
    <w:p>
      <w:pPr>
        <w:pStyle w:val="null3"/>
      </w:pPr>
      <w:r>
        <w:rPr>
          <w:rFonts w:ascii="仿宋_GB2312" w:hAnsi="仿宋_GB2312" w:cs="仿宋_GB2312" w:eastAsia="仿宋_GB2312"/>
        </w:rPr>
        <w:t>6、联合体：本项目不接受联合体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陕西中医药大学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咸阳市秦都区世纪大道中段1号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029-38185085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黄倩、张亚亚、朱旭、张静、戚洪良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采购包1：786,184.21元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说明：履约保证金为中标合同金额的5%，可以通过转账、银行保函的形式提交，履约保证金在支付第一笔合同款时一并无息支付，工程最终验收合格后退还。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代理服务费收费标准：参考国家计委《招标代理服务收费管理暂行办法》(计价格[2002]1980号)文件的基础上收费下浮25%为标准基础价，在标准的基础上再下浮 10%，由成交供应商向采购代理机构交纳采购服务费。 招标代理服务费支付方式：银行转账或现金方式 收款单位：陕西万德招标有限公司 开户银行：中国银行西安南二环支行 银行账号：103673241394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陕西中医药大学</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陕西中医药大学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陕西中医药大学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一、按采购文件、投标文件及合同约定执行。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联系人：黄倩、张亚亚、朱旭</w:t>
      </w:r>
    </w:p>
    <w:p>
      <w:pPr>
        <w:pStyle w:val="null3"/>
      </w:pPr>
      <w:r>
        <w:rPr>
          <w:rFonts w:ascii="仿宋_GB2312" w:hAnsi="仿宋_GB2312" w:cs="仿宋_GB2312" w:eastAsia="仿宋_GB2312"/>
        </w:rPr>
        <w:t>联系电话：029-85561862/85561863转819</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786,184.21</w:t>
      </w:r>
    </w:p>
    <w:p>
      <w:pPr>
        <w:pStyle w:val="null3"/>
      </w:pPr>
      <w:r>
        <w:rPr>
          <w:rFonts w:ascii="仿宋_GB2312" w:hAnsi="仿宋_GB2312" w:cs="仿宋_GB2312" w:eastAsia="仿宋_GB2312"/>
        </w:rPr>
        <w:t>采购包最高限价（元）: 786,184.21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2025年暑假学生公寓粉刷项目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786,184.21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标的名称：2025年暑假学生公寓粉刷项目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一、工程量清单：</w:t>
            </w:r>
          </w:p>
          <w:p>
            <w:pPr>
              <w:pStyle w:val="null3"/>
              <w:ind w:firstLine="400"/>
              <w:jc w:val="both"/>
            </w:pPr>
            <w:r>
              <w:rPr>
                <w:rFonts w:ascii="仿宋_GB2312" w:hAnsi="仿宋_GB2312" w:cs="仿宋_GB2312" w:eastAsia="仿宋_GB2312"/>
                <w:sz w:val="20"/>
              </w:rPr>
              <w:t>墙</w:t>
            </w:r>
            <w:r>
              <w:rPr>
                <w:rFonts w:ascii="仿宋_GB2312" w:hAnsi="仿宋_GB2312" w:cs="仿宋_GB2312" w:eastAsia="仿宋_GB2312"/>
                <w:sz w:val="20"/>
              </w:rPr>
              <w:t>/顶面铲除灰皮暂定量：1000m²，墙面乳胶漆暂定量：41500㎡；顶棚乳胶漆暂定</w:t>
            </w:r>
            <w:r>
              <w:rPr>
                <w:rFonts w:ascii="仿宋_GB2312" w:hAnsi="仿宋_GB2312" w:cs="仿宋_GB2312" w:eastAsia="仿宋_GB2312"/>
                <w:sz w:val="20"/>
              </w:rPr>
              <w:t>量：</w:t>
            </w:r>
            <w:r>
              <w:rPr>
                <w:rFonts w:ascii="仿宋_GB2312" w:hAnsi="仿宋_GB2312" w:cs="仿宋_GB2312" w:eastAsia="仿宋_GB2312"/>
                <w:sz w:val="20"/>
              </w:rPr>
              <w:t>5000m²；宿舍架子床搬移并恢复暂定量：500间；外墙乳胶漆暂定量：200m²。</w:t>
            </w:r>
          </w:p>
          <w:p>
            <w:pPr>
              <w:pStyle w:val="null3"/>
              <w:ind w:firstLine="400"/>
              <w:jc w:val="both"/>
            </w:pPr>
            <w:r>
              <w:rPr>
                <w:rFonts w:ascii="仿宋_GB2312" w:hAnsi="仿宋_GB2312" w:cs="仿宋_GB2312" w:eastAsia="仿宋_GB2312"/>
                <w:sz w:val="20"/>
              </w:rPr>
              <w:t>控制单价范围</w:t>
            </w:r>
            <w:r>
              <w:rPr>
                <w:rFonts w:ascii="仿宋_GB2312" w:hAnsi="仿宋_GB2312" w:cs="仿宋_GB2312" w:eastAsia="仿宋_GB2312"/>
                <w:sz w:val="20"/>
              </w:rPr>
              <w:t>70%-110%。，根据实际施工工作量据实结算。</w:t>
            </w:r>
          </w:p>
          <w:p>
            <w:pPr>
              <w:pStyle w:val="null3"/>
              <w:ind w:firstLine="400"/>
              <w:jc w:val="both"/>
            </w:pPr>
            <w:r>
              <w:rPr>
                <w:rFonts w:ascii="仿宋_GB2312" w:hAnsi="仿宋_GB2312" w:cs="仿宋_GB2312" w:eastAsia="仿宋_GB2312"/>
                <w:sz w:val="20"/>
              </w:rPr>
              <w:t>二、施工要求</w:t>
            </w:r>
          </w:p>
          <w:p>
            <w:pPr>
              <w:pStyle w:val="null3"/>
              <w:ind w:firstLine="400"/>
              <w:jc w:val="both"/>
            </w:pPr>
            <w:r>
              <w:rPr>
                <w:rFonts w:ascii="仿宋_GB2312" w:hAnsi="仿宋_GB2312" w:cs="仿宋_GB2312" w:eastAsia="仿宋_GB2312"/>
                <w:sz w:val="20"/>
              </w:rPr>
              <w:t>（一）工程质量要求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工程质量需符合《建筑装饰装修工程质量验收标准》（</w:t>
            </w:r>
            <w:r>
              <w:rPr>
                <w:rFonts w:ascii="仿宋_GB2312" w:hAnsi="仿宋_GB2312" w:cs="仿宋_GB2312" w:eastAsia="仿宋_GB2312"/>
                <w:sz w:val="20"/>
              </w:rPr>
              <w:t>GB 50210-2018），达到合格标准，一次性验收通过率100%。</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墙面、顶面涂层色泽均匀、无瑕疵，满足环保、耐擦洗、抗冲击要求，质保期内不出现大面积脱落、开裂、褪色等问题。</w:t>
            </w:r>
          </w:p>
          <w:p>
            <w:pPr>
              <w:pStyle w:val="null3"/>
              <w:ind w:firstLine="400"/>
              <w:jc w:val="both"/>
            </w:pPr>
            <w:r>
              <w:rPr>
                <w:rFonts w:ascii="仿宋_GB2312" w:hAnsi="仿宋_GB2312" w:cs="仿宋_GB2312" w:eastAsia="仿宋_GB2312"/>
                <w:sz w:val="20"/>
              </w:rPr>
              <w:t>（二）环保要求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环保要求：涂料有害物质限量需符合《室内装饰装修材料</w:t>
            </w:r>
            <w:r>
              <w:rPr>
                <w:rFonts w:ascii="仿宋_GB2312" w:hAnsi="仿宋_GB2312" w:cs="仿宋_GB2312" w:eastAsia="仿宋_GB2312"/>
                <w:sz w:val="20"/>
              </w:rPr>
              <w:t>内墙涂料中有害物质限量》（</w:t>
            </w:r>
            <w:r>
              <w:rPr>
                <w:rFonts w:ascii="仿宋_GB2312" w:hAnsi="仿宋_GB2312" w:cs="仿宋_GB2312" w:eastAsia="仿宋_GB2312"/>
                <w:sz w:val="20"/>
              </w:rPr>
              <w:t>GB 18582-2020），甲醛释放量≤0.1mg/m³，苯系物总和≤100mg/kg，施工过程中无刺激性异味，确保学生健康安全。</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耐久性要求：涂层使用寿命</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年，质保期内（自验收合格之日起</w:t>
            </w:r>
            <w:r>
              <w:rPr>
                <w:rFonts w:ascii="仿宋_GB2312" w:hAnsi="仿宋_GB2312" w:cs="仿宋_GB2312" w:eastAsia="仿宋_GB2312"/>
                <w:sz w:val="20"/>
              </w:rPr>
              <w:t>2年）免费维修。</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质量验收标准</w:t>
            </w:r>
          </w:p>
          <w:p>
            <w:pPr>
              <w:pStyle w:val="null3"/>
              <w:ind w:firstLine="400"/>
              <w:jc w:val="both"/>
            </w:pPr>
            <w:r>
              <w:rPr>
                <w:rFonts w:ascii="仿宋_GB2312" w:hAnsi="仿宋_GB2312" w:cs="仿宋_GB2312" w:eastAsia="仿宋_GB2312"/>
                <w:sz w:val="20"/>
              </w:rPr>
              <w:t>1.基层处理标准</w:t>
            </w:r>
          </w:p>
          <w:tbl>
            <w:tblPr>
              <w:tblInd w:type="dxa" w:w="105"/>
              <w:tblBorders>
                <w:top w:val="none" w:color="000000" w:sz="4"/>
                <w:left w:val="none" w:color="000000" w:sz="4"/>
                <w:bottom w:val="none" w:color="000000" w:sz="4"/>
                <w:right w:val="none" w:color="000000" w:sz="4"/>
                <w:insideH w:val="none"/>
                <w:insideV w:val="none"/>
              </w:tblBorders>
            </w:tblPr>
            <w:tblGrid>
              <w:gridCol w:w="447"/>
              <w:gridCol w:w="1224"/>
              <w:gridCol w:w="882"/>
            </w:tblGrid>
            <w:tr>
              <w:tc>
                <w:tcPr>
                  <w:tcW w:type="dxa" w:w="447"/>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rFonts w:ascii="仿宋_GB2312" w:hAnsi="仿宋_GB2312" w:cs="仿宋_GB2312" w:eastAsia="仿宋_GB2312"/>
                      <w:sz w:val="20"/>
                      <w:b/>
                    </w:rPr>
                    <w:t>项目</w:t>
                  </w:r>
                </w:p>
              </w:tc>
              <w:tc>
                <w:tcPr>
                  <w:tcW w:type="dxa" w:w="1224"/>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rFonts w:ascii="仿宋_GB2312" w:hAnsi="仿宋_GB2312" w:cs="仿宋_GB2312" w:eastAsia="仿宋_GB2312"/>
                      <w:sz w:val="20"/>
                      <w:b/>
                    </w:rPr>
                    <w:t>验收指标</w:t>
                  </w:r>
                </w:p>
              </w:tc>
              <w:tc>
                <w:tcPr>
                  <w:tcW w:type="dxa" w:w="882"/>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rFonts w:ascii="仿宋_GB2312" w:hAnsi="仿宋_GB2312" w:cs="仿宋_GB2312" w:eastAsia="仿宋_GB2312"/>
                      <w:sz w:val="20"/>
                      <w:b/>
                    </w:rPr>
                    <w:t>依据规范</w:t>
                  </w:r>
                </w:p>
              </w:tc>
            </w:tr>
            <w:tr>
              <w:tc>
                <w:tcPr>
                  <w:tcW w:type="dxa" w:w="447"/>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墙面平整度</w:t>
                  </w:r>
                </w:p>
              </w:tc>
              <w:tc>
                <w:tcPr>
                  <w:tcW w:type="dxa" w:w="1224"/>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用</w:t>
                  </w:r>
                  <w:r>
                    <w:rPr>
                      <w:rFonts w:ascii="仿宋_GB2312" w:hAnsi="仿宋_GB2312" w:cs="仿宋_GB2312" w:eastAsia="仿宋_GB2312"/>
                      <w:sz w:val="20"/>
                    </w:rPr>
                    <w:t>2m 靠尺检查，偏差≤3mm</w:t>
                  </w:r>
                </w:p>
              </w:tc>
              <w:tc>
                <w:tcPr>
                  <w:tcW w:type="dxa" w:w="882"/>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GB 50210-2018 第 4.2.9 条</w:t>
                  </w:r>
                </w:p>
              </w:tc>
            </w:tr>
            <w:tr>
              <w:tc>
                <w:tcPr>
                  <w:tcW w:type="dxa" w:w="447"/>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空鼓检测</w:t>
                  </w:r>
                </w:p>
              </w:tc>
              <w:tc>
                <w:tcPr>
                  <w:tcW w:type="dxa" w:w="1224"/>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采用敲击法，单块空鼓面积</w:t>
                  </w:r>
                  <w:r>
                    <w:rPr>
                      <w:rFonts w:ascii="仿宋_GB2312" w:hAnsi="仿宋_GB2312" w:cs="仿宋_GB2312" w:eastAsia="仿宋_GB2312"/>
                      <w:sz w:val="20"/>
                    </w:rPr>
                    <w:t>≤400cm²，每自然间（标准间）空鼓不超过 2 处</w:t>
                  </w:r>
                </w:p>
              </w:tc>
              <w:tc>
                <w:tcPr>
                  <w:tcW w:type="dxa" w:w="882"/>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GB 50210-2018 第 4.2.5 条</w:t>
                  </w:r>
                </w:p>
              </w:tc>
            </w:tr>
            <w:tr>
              <w:tc>
                <w:tcPr>
                  <w:tcW w:type="dxa" w:w="447"/>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裂缝处理</w:t>
                  </w:r>
                </w:p>
              </w:tc>
              <w:tc>
                <w:tcPr>
                  <w:tcW w:type="dxa" w:w="1224"/>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宽度＞</w:t>
                  </w:r>
                  <w:r>
                    <w:rPr>
                      <w:rFonts w:ascii="仿宋_GB2312" w:hAnsi="仿宋_GB2312" w:cs="仿宋_GB2312" w:eastAsia="仿宋_GB2312"/>
                      <w:sz w:val="20"/>
                    </w:rPr>
                    <w:t>0.3mm的裂缝需凿槽修补，粘贴耐碱网格布；发丝裂缝需用抗裂腻子覆盖</w:t>
                  </w:r>
                </w:p>
              </w:tc>
              <w:tc>
                <w:tcPr>
                  <w:tcW w:type="dxa" w:w="882"/>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行业常规工艺标准</w:t>
                  </w:r>
                </w:p>
              </w:tc>
            </w:tr>
          </w:tbl>
          <w:p>
            <w:pPr>
              <w:pStyle w:val="null3"/>
              <w:ind w:firstLine="400"/>
              <w:jc w:val="both"/>
            </w:pPr>
            <w:r>
              <w:rPr>
                <w:rFonts w:ascii="仿宋_GB2312" w:hAnsi="仿宋_GB2312" w:cs="仿宋_GB2312" w:eastAsia="仿宋_GB2312"/>
                <w:sz w:val="20"/>
              </w:rPr>
              <w:t>2.涂料施工标准</w:t>
            </w:r>
          </w:p>
          <w:tbl>
            <w:tblPr>
              <w:tblInd w:type="dxa" w:w="105"/>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项目</w:t>
                  </w:r>
                </w:p>
              </w:tc>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验收指标</w:t>
                  </w:r>
                </w:p>
              </w:tc>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依据规范</w:t>
                  </w: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色泽均匀度</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无明显色差、流坠、刷痕，目视观感一致</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GB 50210-2018 第 10.2.6 条</w:t>
                  </w: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涂层厚度</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采用涂层测厚仪检测，平均厚度</w:t>
                  </w:r>
                  <w:r>
                    <w:rPr>
                      <w:rFonts w:ascii="仿宋_GB2312" w:hAnsi="仿宋_GB2312" w:cs="仿宋_GB2312" w:eastAsia="仿宋_GB2312"/>
                      <w:sz w:val="20"/>
                    </w:rPr>
                    <w:t>≥设计值的90%，最小厚度≥设计值的 85%</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GB 50210-2018 第 10.2.5 条</w:t>
                  </w: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附着力</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用划格法（间距</w:t>
                  </w:r>
                  <w:r>
                    <w:rPr>
                      <w:rFonts w:ascii="仿宋_GB2312" w:hAnsi="仿宋_GB2312" w:cs="仿宋_GB2312" w:eastAsia="仿宋_GB2312"/>
                      <w:sz w:val="20"/>
                    </w:rPr>
                    <w:t>1mm）检测，涂层脱落面积≤5%</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GB/T 9286-1998</w:t>
                  </w:r>
                </w:p>
              </w:tc>
            </w:tr>
          </w:tbl>
          <w:p>
            <w:pPr>
              <w:pStyle w:val="null3"/>
              <w:ind w:firstLine="400"/>
              <w:jc w:val="both"/>
            </w:pPr>
            <w:r>
              <w:rPr>
                <w:rFonts w:ascii="仿宋_GB2312" w:hAnsi="仿宋_GB2312" w:cs="仿宋_GB2312" w:eastAsia="仿宋_GB2312"/>
                <w:sz w:val="20"/>
              </w:rPr>
              <w:t>3.特殊部位处理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门窗周边：涂料需覆盖至门窗框与墙体接缝处，边缘整齐、无漏刷，密封胶饱满连续（参照</w:t>
            </w:r>
            <w:r>
              <w:rPr>
                <w:rFonts w:ascii="仿宋_GB2312" w:hAnsi="仿宋_GB2312" w:cs="仿宋_GB2312" w:eastAsia="仿宋_GB2312"/>
                <w:sz w:val="20"/>
              </w:rPr>
              <w:t>GB 50210-2018 第 5.3 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阴阳角：线条顺直，偏差</w:t>
            </w:r>
            <w:r>
              <w:rPr>
                <w:rFonts w:ascii="仿宋_GB2312" w:hAnsi="仿宋_GB2312" w:cs="仿宋_GB2312" w:eastAsia="仿宋_GB2312"/>
                <w:sz w:val="20"/>
              </w:rPr>
              <w:t>≤2mm，无缺棱掉角。</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开关插座周边：涂层与面板边缘平齐，不得污染面板。</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材料质量要求</w:t>
            </w:r>
          </w:p>
          <w:tbl>
            <w:tblPr>
              <w:tblInd w:type="dxa" w:w="150"/>
              <w:tblBorders>
                <w:top w:val="none" w:color="000000" w:sz="4"/>
                <w:left w:val="none" w:color="000000" w:sz="4"/>
                <w:bottom w:val="none" w:color="000000" w:sz="4"/>
                <w:right w:val="none" w:color="000000" w:sz="4"/>
                <w:insideH w:val="none"/>
                <w:insideV w:val="none"/>
              </w:tblBorders>
            </w:tblPr>
            <w:tblGrid>
              <w:gridCol w:w="521"/>
              <w:gridCol w:w="1075"/>
              <w:gridCol w:w="957"/>
            </w:tblGrid>
            <w:tr>
              <w:tc>
                <w:tcPr>
                  <w:tcW w:type="dxa" w:w="52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材料名称</w:t>
                  </w:r>
                </w:p>
              </w:tc>
              <w:tc>
                <w:tcPr>
                  <w:tcW w:type="dxa" w:w="1075"/>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规格参数</w:t>
                  </w:r>
                </w:p>
              </w:tc>
              <w:tc>
                <w:tcPr>
                  <w:tcW w:type="dxa" w:w="957"/>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检测报告要求</w:t>
                  </w:r>
                </w:p>
              </w:tc>
            </w:tr>
            <w:tr>
              <w:tc>
                <w:tcPr>
                  <w:tcW w:type="dxa" w:w="52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内墙腻子</w:t>
                  </w:r>
                </w:p>
              </w:tc>
              <w:tc>
                <w:tcPr>
                  <w:tcW w:type="dxa" w:w="10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耐水型（</w:t>
                  </w:r>
                  <w:r>
                    <w:rPr>
                      <w:rFonts w:ascii="仿宋_GB2312" w:hAnsi="仿宋_GB2312" w:cs="仿宋_GB2312" w:eastAsia="仿宋_GB2312"/>
                      <w:sz w:val="20"/>
                    </w:rPr>
                    <w:t>N 型），粘结强度≥0.5MPa，符合 GB/T 29806-2013</w:t>
                  </w:r>
                </w:p>
              </w:tc>
              <w:tc>
                <w:tcPr>
                  <w:tcW w:type="dxa" w:w="957"/>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每批次提供出厂合格证、甲醛检测报告</w:t>
                  </w:r>
                </w:p>
              </w:tc>
            </w:tr>
            <w:tr>
              <w:tc>
                <w:tcPr>
                  <w:tcW w:type="dxa" w:w="52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内墙涂料</w:t>
                  </w:r>
                </w:p>
              </w:tc>
              <w:tc>
                <w:tcPr>
                  <w:tcW w:type="dxa" w:w="10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水性丙烯酸乳胶漆，干膜遮盖力</w:t>
                  </w:r>
                  <w:r>
                    <w:rPr>
                      <w:rFonts w:ascii="仿宋_GB2312" w:hAnsi="仿宋_GB2312" w:cs="仿宋_GB2312" w:eastAsia="仿宋_GB2312"/>
                      <w:sz w:val="20"/>
                    </w:rPr>
                    <w:t>≥90%，耐擦洗次数≥5000 次（GB/T 9266-2009）</w:t>
                  </w:r>
                </w:p>
              </w:tc>
              <w:tc>
                <w:tcPr>
                  <w:tcW w:type="dxa" w:w="957"/>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每批次提供</w:t>
                  </w:r>
                  <w:r>
                    <w:rPr>
                      <w:rFonts w:ascii="仿宋_GB2312" w:hAnsi="仿宋_GB2312" w:cs="仿宋_GB2312" w:eastAsia="仿宋_GB2312"/>
                      <w:sz w:val="20"/>
                    </w:rPr>
                    <w:t>VOC 含量、苯系物检测报告</w:t>
                  </w:r>
                </w:p>
              </w:tc>
            </w:tr>
            <w:tr>
              <w:tc>
                <w:tcPr>
                  <w:tcW w:type="dxa" w:w="52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b/>
                    </w:rPr>
                    <w:t>界面剂</w:t>
                  </w:r>
                </w:p>
              </w:tc>
              <w:tc>
                <w:tcPr>
                  <w:tcW w:type="dxa" w:w="10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乳液型，与基层粘接强度</w:t>
                  </w:r>
                  <w:r>
                    <w:rPr>
                      <w:rFonts w:ascii="仿宋_GB2312" w:hAnsi="仿宋_GB2312" w:cs="仿宋_GB2312" w:eastAsia="仿宋_GB2312"/>
                      <w:sz w:val="20"/>
                    </w:rPr>
                    <w:t>≥0.3MPa</w:t>
                  </w:r>
                </w:p>
              </w:tc>
              <w:tc>
                <w:tcPr>
                  <w:tcW w:type="dxa" w:w="957"/>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210" w:right="-210"/>
                    <w:jc w:val="center"/>
                  </w:pPr>
                  <w:r>
                    <w:rPr>
                      <w:rFonts w:ascii="仿宋_GB2312" w:hAnsi="仿宋_GB2312" w:cs="仿宋_GB2312" w:eastAsia="仿宋_GB2312"/>
                      <w:sz w:val="20"/>
                    </w:rPr>
                    <w:t>提供环保性能检测报告</w:t>
                  </w:r>
                </w:p>
              </w:tc>
            </w:tr>
          </w:tbl>
          <w:p>
            <w:pPr>
              <w:pStyle w:val="null3"/>
              <w:ind w:firstLine="400"/>
              <w:jc w:val="both"/>
            </w:pPr>
            <w:r>
              <w:rPr>
                <w:rFonts w:ascii="仿宋_GB2312" w:hAnsi="仿宋_GB2312" w:cs="仿宋_GB2312" w:eastAsia="仿宋_GB2312"/>
                <w:sz w:val="20"/>
              </w:rPr>
              <w:t>禁用材料：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严禁使用溶剂型涂料、含石棉填料的腻子及国家明令淘汰的材料。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材料进场需经采购人、监理单位联合验收，见证取样复验合格后方可使用，检测费用由施工单位承担。</w:t>
            </w:r>
          </w:p>
          <w:p>
            <w:pPr>
              <w:pStyle w:val="null3"/>
              <w:ind w:firstLine="400"/>
              <w:jc w:val="both"/>
            </w:pPr>
            <w:r>
              <w:rPr>
                <w:rFonts w:ascii="仿宋_GB2312" w:hAnsi="仿宋_GB2312" w:cs="仿宋_GB2312" w:eastAsia="仿宋_GB2312"/>
                <w:sz w:val="20"/>
              </w:rPr>
              <w:t>（五）</w:t>
            </w:r>
            <w:r>
              <w:rPr>
                <w:rFonts w:ascii="仿宋_GB2312" w:hAnsi="仿宋_GB2312" w:cs="仿宋_GB2312" w:eastAsia="仿宋_GB2312"/>
                <w:sz w:val="20"/>
              </w:rPr>
              <w:t>施工工艺质量控制</w:t>
            </w:r>
          </w:p>
          <w:p>
            <w:pPr>
              <w:pStyle w:val="null3"/>
              <w:ind w:firstLine="400"/>
              <w:jc w:val="both"/>
            </w:pPr>
            <w:r>
              <w:rPr>
                <w:rFonts w:ascii="仿宋_GB2312" w:hAnsi="仿宋_GB2312" w:cs="仿宋_GB2312" w:eastAsia="仿宋_GB2312"/>
                <w:sz w:val="20"/>
              </w:rPr>
              <w:t>关键工序要求：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基层处理：墙面需清理干净，铲除原疏松涂层，用界面剂滚涂封底，确保基层牢固（施工前拍照留存原始状态）。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腻子施工：至少刮涂</w:t>
            </w:r>
            <w:r>
              <w:rPr>
                <w:rFonts w:ascii="仿宋_GB2312" w:hAnsi="仿宋_GB2312" w:cs="仿宋_GB2312" w:eastAsia="仿宋_GB2312"/>
                <w:sz w:val="20"/>
              </w:rPr>
              <w:t>2 遍，每遍干燥后打磨平整，平整度误差≤2mm。</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涂料施工：采用刷涂或滚涂工艺，第一遍干透后再涂第二遍，确保涂层均匀覆盖，避免漏涂成品保护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施工过程中需对地面、门窗、水电设施等进行覆盖保护，完工后清理现场，恢复原有设施（如灯具、开关面板）。</w:t>
            </w:r>
          </w:p>
          <w:p>
            <w:pPr>
              <w:pStyle w:val="null3"/>
              <w:ind w:firstLine="400"/>
              <w:jc w:val="both"/>
            </w:pPr>
            <w:r>
              <w:rPr>
                <w:rFonts w:ascii="仿宋_GB2312" w:hAnsi="仿宋_GB2312" w:cs="仿宋_GB2312" w:eastAsia="仿宋_GB2312"/>
                <w:sz w:val="20"/>
              </w:rPr>
              <w:t>（六）</w:t>
            </w:r>
            <w:r>
              <w:rPr>
                <w:rFonts w:ascii="仿宋_GB2312" w:hAnsi="仿宋_GB2312" w:cs="仿宋_GB2312" w:eastAsia="仿宋_GB2312"/>
                <w:sz w:val="20"/>
              </w:rPr>
              <w:t>质量保证措施与违约责任</w:t>
            </w:r>
          </w:p>
          <w:p>
            <w:pPr>
              <w:pStyle w:val="null3"/>
              <w:ind w:firstLine="400"/>
              <w:jc w:val="both"/>
            </w:pPr>
            <w:r>
              <w:rPr>
                <w:rFonts w:ascii="仿宋_GB2312" w:hAnsi="仿宋_GB2312" w:cs="仿宋_GB2312" w:eastAsia="仿宋_GB2312"/>
                <w:sz w:val="20"/>
              </w:rPr>
              <w:t>施工单位需建立项目经理负责制的质量管控小组，每周提交质量检查记录，关键工序（如基层验收、涂料涂刷）需经监理签字确认后方可进入下道工序。</w:t>
            </w:r>
          </w:p>
          <w:p>
            <w:pPr>
              <w:pStyle w:val="null3"/>
              <w:ind w:firstLine="400"/>
              <w:jc w:val="both"/>
            </w:pPr>
            <w:r>
              <w:rPr>
                <w:rFonts w:ascii="仿宋_GB2312" w:hAnsi="仿宋_GB2312" w:cs="仿宋_GB2312" w:eastAsia="仿宋_GB2312"/>
                <w:sz w:val="20"/>
              </w:rPr>
              <w:t>违约处理</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若涂层厚度、环保指标等关键项不达标，需无条件返工，并承担返工费用及工期延误责任（每延误</w:t>
            </w:r>
            <w:r>
              <w:rPr>
                <w:rFonts w:ascii="仿宋_GB2312" w:hAnsi="仿宋_GB2312" w:cs="仿宋_GB2312" w:eastAsia="仿宋_GB2312"/>
                <w:sz w:val="20"/>
              </w:rPr>
              <w:t>1 天扣合同价 1%）。</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质保期内出现大面积脱落（单房间脱落面积＞</w:t>
            </w:r>
            <w:r>
              <w:rPr>
                <w:rFonts w:ascii="仿宋_GB2312" w:hAnsi="仿宋_GB2312" w:cs="仿宋_GB2312" w:eastAsia="仿宋_GB2312"/>
                <w:sz w:val="20"/>
              </w:rPr>
              <w:t>10%）或甲醛超标，施工单位需免费重新施工，若因此造成学生健康损害，需承担法律责任。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采购人有权委托第三方检测机构对工程质量进行抽检，若不合格项超过</w:t>
            </w:r>
            <w:r>
              <w:rPr>
                <w:rFonts w:ascii="仿宋_GB2312" w:hAnsi="仿宋_GB2312" w:cs="仿宋_GB2312" w:eastAsia="仿宋_GB2312"/>
                <w:sz w:val="20"/>
              </w:rPr>
              <w:t>3 处，检测费用由施工单位承担。其它详见工程量清单。</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工期</w:t>
            </w:r>
            <w:r>
              <w:rPr>
                <w:rFonts w:ascii="仿宋_GB2312" w:hAnsi="仿宋_GB2312" w:cs="仿宋_GB2312" w:eastAsia="仿宋_GB2312"/>
                <w:sz w:val="20"/>
              </w:rPr>
              <w:t>：</w:t>
            </w:r>
            <w:r>
              <w:rPr>
                <w:rFonts w:ascii="仿宋_GB2312" w:hAnsi="仿宋_GB2312" w:cs="仿宋_GB2312" w:eastAsia="仿宋_GB2312"/>
                <w:sz w:val="20"/>
              </w:rPr>
              <w:t>自成交通知书发出之日起</w:t>
            </w:r>
            <w:r>
              <w:rPr>
                <w:rFonts w:ascii="仿宋_GB2312" w:hAnsi="仿宋_GB2312" w:cs="仿宋_GB2312" w:eastAsia="仿宋_GB2312"/>
                <w:sz w:val="20"/>
              </w:rPr>
              <w:t>30日历日内竣工</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地点：陕西中医药大学南校区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rPr>
              <w:t>质保期：</w:t>
            </w:r>
            <w:r>
              <w:rPr>
                <w:rFonts w:ascii="仿宋_GB2312" w:hAnsi="仿宋_GB2312" w:cs="仿宋_GB2312" w:eastAsia="仿宋_GB2312"/>
                <w:sz w:val="20"/>
              </w:rPr>
              <w:t>2</w:t>
            </w:r>
            <w:r>
              <w:rPr>
                <w:rFonts w:ascii="仿宋_GB2312" w:hAnsi="仿宋_GB2312" w:cs="仿宋_GB2312" w:eastAsia="仿宋_GB2312"/>
                <w:sz w:val="20"/>
              </w:rPr>
              <w:t>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缺陷责任期</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rPr>
              <w:t>付款方式：工程竣工并经甲方验收合格，甲方审计结束后</w:t>
            </w:r>
            <w:r>
              <w:rPr>
                <w:rFonts w:ascii="仿宋_GB2312" w:hAnsi="仿宋_GB2312" w:cs="仿宋_GB2312" w:eastAsia="仿宋_GB2312"/>
                <w:sz w:val="20"/>
              </w:rPr>
              <w:t>，</w:t>
            </w:r>
            <w:r>
              <w:rPr>
                <w:rFonts w:ascii="仿宋_GB2312" w:hAnsi="仿宋_GB2312" w:cs="仿宋_GB2312" w:eastAsia="仿宋_GB2312"/>
                <w:sz w:val="20"/>
              </w:rPr>
              <w:t>依据审计结果，由乙方开具并向甲方提供全额发票，并提供审计总价</w:t>
            </w:r>
            <w:r>
              <w:rPr>
                <w:rFonts w:ascii="仿宋_GB2312" w:hAnsi="仿宋_GB2312" w:cs="仿宋_GB2312" w:eastAsia="仿宋_GB2312"/>
                <w:sz w:val="20"/>
              </w:rPr>
              <w:t>3%的质量保函后，甲方转账支付，支付审计总价的100%。质保期到后退还质量保函。</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w:t>
            </w:r>
            <w:r>
              <w:rPr>
                <w:rFonts w:ascii="仿宋_GB2312" w:hAnsi="仿宋_GB2312" w:cs="仿宋_GB2312" w:eastAsia="仿宋_GB2312"/>
                <w:sz w:val="20"/>
              </w:rPr>
              <w:t>报价要求：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供应商必须响应工程量清单、材料环保要求、施工规范要求、质量要求。清单内的工程内容单价包死，控制单价范围</w:t>
            </w:r>
            <w:r>
              <w:rPr>
                <w:rFonts w:ascii="仿宋_GB2312" w:hAnsi="仿宋_GB2312" w:cs="仿宋_GB2312" w:eastAsia="仿宋_GB2312"/>
                <w:sz w:val="20"/>
              </w:rPr>
              <w:t>70%-110%，根据实际施工工作量据实结算。</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本工程因在校内施工，应综合考虑施工期间的机械噪音，灰尘污染等处理，以及由此产生的措施费、降效费、协调等相关费用，计入本次磋商报价。</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供应商应将不可竞争的费用按照规定计取。</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供应商应在响应文件中，明确采用的材料的品牌、产地、型号、规格、详细参数等。</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由成交人负责采购的所有材料的质量，必须满足国家及行业规范、标准的要求；必须满足本磋商文件施工要求。</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供应商磋商报价时应充分考虑政策性调整、建材市场风险进行报价。供应商的磋商报价中应包含完成清单范围内的一切工作内容所需的显在和隐含的一切费用，未列项目，视为已包含在其它项目中。</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供应商要考虑施工过程中的质量风险，由于自身原因发生的质量事故不仅要承担本次事故的所有处理费用，还应当承担采购人全部的损失费。</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采用项目单价，首次响应文件中的报价以已标价工程量清单报价。供应商最后报价采用基于首次响应文件的报价下浮一定比例的方式进行报价。</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最后报价：</w:t>
            </w:r>
            <w:r>
              <w:rPr>
                <w:rFonts w:ascii="仿宋_GB2312" w:hAnsi="仿宋_GB2312" w:cs="仿宋_GB2312" w:eastAsia="仿宋_GB2312"/>
                <w:sz w:val="20"/>
              </w:rPr>
              <w:t>供应商提交有效的最后磋商报价（即最后报价）后，下浮率将由磋商小组按照</w:t>
            </w:r>
            <w:r>
              <w:rPr>
                <w:rFonts w:ascii="仿宋_GB2312" w:hAnsi="仿宋_GB2312" w:cs="仿宋_GB2312" w:eastAsia="仿宋_GB2312"/>
                <w:sz w:val="20"/>
              </w:rPr>
              <w:t>“下浮率=1-（最后报价/首次报价）*100%”计算出实际下浮率，成交供应商的实际结算单价将按此下浮率计算。下浮率百分比精确到小数点后两位。国家规定不可调整(不可竞争的规费、税金、安全文明施工费等费率)及采购人要求不得调整外(暂列金、暂估价)(如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符合《建筑装饰装修工程质量验收标准》（GB 50210-2018），达到合格标准，一次性验收通过率100%。</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预算资金名称：2025年暑假学生公寓粉刷项目。2.供应商需要在线提交所有通过电子化交易平台实施的政府采购项目的响应文件，成交供应商需提供纸质响应文件正本壹份、副本贰份、电子版壹套（U盘一套电子版内容：电子投标书(已标价工程量清单SXTB格式)、GBQ格式）。纸质响应文件应与线上电子响应文件保持一致。3.本工程软件采用广联达云计价平台GCCP6.0（6.4100.23.122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并出具合法有效的营业执照或事业单位法人证书等国家规定的相关证明，自然人参与的提供其身份证明；②财务状况报告：提供2023年度完整的财务审计报告，或提交自2025年1月1日以来银行出具的资信证明，或信用担保机构出具的投标担保函（以上三种形式的资料提供任何一种即可）。③税收缴纳证明:提供2024年1月至今已缴纳的至少一个月的纳税证明或完税证明（时间以税款所属时期为准），依法免税的单位应提供相关证明材料。④社会保障资金缴纳证明:提供2024年1月至今已缴存的至少一个月的社会保障资金缴存单据或社保机构开具的社会保险参保缴费情况证明，依法不需要缴纳社会保障资金的单位应提供相关证明材料。⑤书面声明:参加本次采购活动前三年内在经营活动中没有重大违纪，以及在“信用中国”网站(www.creditchina.gov.cn)未被列入失信被执行人、重大税收违法失信主体名单、“中国政府采购网”(www.ccgp.gov.cn)未被列入政府采购严重违法失信行为记录名单的书面声明。本项目拒绝被列入“信用中国”网站(www.creditchina.gov.cn)失信被执行人、重大税收违法失信主体、“中国政府采购网”(www.ccgp.gov.cn)府采购严重违法失信行为的供应商参与。⑥提供具有履行合同所必需的设备和专业技术能力的承诺函。</w:t>
            </w:r>
          </w:p>
        </w:tc>
        <w:tc>
          <w:tcPr>
            <w:tcW w:type="dxa" w:w="1661"/>
          </w:tcPr>
          <w:p>
            <w:pPr>
              <w:pStyle w:val="null3"/>
            </w:pPr>
            <w:r>
              <w:rPr>
                <w:rFonts w:ascii="仿宋_GB2312" w:hAnsi="仿宋_GB2312" w:cs="仿宋_GB2312" w:eastAsia="仿宋_GB2312"/>
              </w:rPr>
              <w:t>响应文件封面 供应商应提交的相关资格证明材料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供应商应授权合法的人员参加磋商，其中法定代表人直接参加的，须出具法定代表人证明书；被授权人参加的，须出具法定代表人证明书及法定代表人授权书。</w:t>
            </w:r>
          </w:p>
        </w:tc>
        <w:tc>
          <w:tcPr>
            <w:tcW w:type="dxa" w:w="1661"/>
          </w:tcPr>
          <w:p>
            <w:pPr>
              <w:pStyle w:val="null3"/>
            </w:pPr>
            <w:r>
              <w:rPr>
                <w:rFonts w:ascii="仿宋_GB2312" w:hAnsi="仿宋_GB2312" w:cs="仿宋_GB2312" w:eastAsia="仿宋_GB2312"/>
              </w:rPr>
              <w:t>供应商应提交的相关资格证明材料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须具备建筑工程施工总承包三级及以上或建筑装修装饰工程专业承包二级及以上资质。</w:t>
            </w:r>
          </w:p>
        </w:tc>
        <w:tc>
          <w:tcPr>
            <w:tcW w:type="dxa" w:w="1661"/>
          </w:tcPr>
          <w:p>
            <w:pPr>
              <w:pStyle w:val="null3"/>
            </w:pPr>
            <w:r>
              <w:rPr>
                <w:rFonts w:ascii="仿宋_GB2312" w:hAnsi="仿宋_GB2312" w:cs="仿宋_GB2312" w:eastAsia="仿宋_GB2312"/>
              </w:rPr>
              <w:t>供应商应提交的相关资格证明材料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具备有效的安全生产许可证。</w:t>
            </w:r>
          </w:p>
        </w:tc>
        <w:tc>
          <w:tcPr>
            <w:tcW w:type="dxa" w:w="1661"/>
          </w:tcPr>
          <w:p>
            <w:pPr>
              <w:pStyle w:val="null3"/>
            </w:pPr>
            <w:r>
              <w:rPr>
                <w:rFonts w:ascii="仿宋_GB2312" w:hAnsi="仿宋_GB2312" w:cs="仿宋_GB2312" w:eastAsia="仿宋_GB2312"/>
              </w:rPr>
              <w:t>供应商应提交的相关资格证明材料 响应函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拟派项目经理具有建筑工程专业二级及以上注册建造师资格及有效的安全生产考核合格证书（建安 B 证），且在本单位注册，未担任其它在建工程的项目经理。同时提供项目经理自2025年01月01日至今任意1个月在本单位缴纳的社会保险证明资料。</w:t>
            </w:r>
          </w:p>
        </w:tc>
        <w:tc>
          <w:tcPr>
            <w:tcW w:type="dxa" w:w="1661"/>
          </w:tcPr>
          <w:p>
            <w:pPr>
              <w:pStyle w:val="null3"/>
            </w:pPr>
            <w:r>
              <w:rPr>
                <w:rFonts w:ascii="仿宋_GB2312" w:hAnsi="仿宋_GB2312" w:cs="仿宋_GB2312" w:eastAsia="仿宋_GB2312"/>
              </w:rPr>
              <w:t>项目管理机构组成表 供应商应提交的相关资格证明材料 响应函 主要人员简历表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外地企业提供在“陕西省建筑市场监管与诚信信息发布平台”上登记的基本信息界面截图</w:t>
            </w:r>
          </w:p>
        </w:tc>
        <w:tc>
          <w:tcPr>
            <w:tcW w:type="dxa" w:w="3322"/>
          </w:tcPr>
          <w:p>
            <w:pPr>
              <w:pStyle w:val="null3"/>
            </w:pPr>
            <w:r>
              <w:rPr>
                <w:rFonts w:ascii="仿宋_GB2312" w:hAnsi="仿宋_GB2312" w:cs="仿宋_GB2312" w:eastAsia="仿宋_GB2312"/>
              </w:rPr>
              <w:t>外地企业提供在“陕西省建筑市场监管与诚信信息发布平台”上登记的基本信息界面截图。</w:t>
            </w:r>
          </w:p>
        </w:tc>
        <w:tc>
          <w:tcPr>
            <w:tcW w:type="dxa" w:w="1661"/>
          </w:tcPr>
          <w:p>
            <w:pPr>
              <w:pStyle w:val="null3"/>
            </w:pPr>
            <w:r>
              <w:rPr>
                <w:rFonts w:ascii="仿宋_GB2312" w:hAnsi="仿宋_GB2312" w:cs="仿宋_GB2312" w:eastAsia="仿宋_GB2312"/>
              </w:rPr>
              <w:t>供应商应提交的相关资格证明材料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 响应函 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响应文件按照竞争性磋商文件规定要求签署、盖章的。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满足本竞争性磋商文件中标注的实质性条款。</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商务要求不得出现负偏离。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工程量</w:t>
            </w:r>
          </w:p>
        </w:tc>
        <w:tc>
          <w:tcPr>
            <w:tcW w:type="dxa" w:w="3322"/>
          </w:tcPr>
          <w:p>
            <w:pPr>
              <w:pStyle w:val="null3"/>
            </w:pPr>
            <w:r>
              <w:rPr>
                <w:rFonts w:ascii="仿宋_GB2312" w:hAnsi="仿宋_GB2312" w:cs="仿宋_GB2312" w:eastAsia="仿宋_GB2312"/>
              </w:rPr>
              <w:t>响应文件不得出现工程量漏项或工程量清单与要求不符的。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详细评审30.00分</w:t>
            </w:r>
          </w:p>
          <w:p>
            <w:pPr>
              <w:pStyle w:val="null3"/>
            </w:pPr>
            <w:r>
              <w:rPr>
                <w:rFonts w:ascii="仿宋_GB2312" w:hAnsi="仿宋_GB2312" w:cs="仿宋_GB2312" w:eastAsia="仿宋_GB2312"/>
              </w:rPr>
              <w:t>报价得分70.00分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针对本项目提供具体的施工组织设计，包含： ①施工方案； ②施工进度及工期保障措施； ③确保施工质量的技术组织措施；④确保施工安全、文明、环保的技术组织措施； ⑤拟投入本项目的劳动力、机械设备、工具等； ⑥针对突发事件的应急处理方案，提供相应的预案或保证措施。 注：每具有一项得1分，最多得6分。在此基础上，方案中存在缺陷的，每1项中每有1处扣0.5分，每项最多扣1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项目负责人(0-4分) 1、项目负责人具有建筑工程专业中级职称得1分，高级职称得2分，初级职称及无职称不得分，不重复得分。 注：以项目负责人职称证书复印件为准。 2、项目负责人提供近三年1个有效类似业绩得1分，最高得2分(有效是指已签订施工合同并开工建设或已完工。类似业绩是指建筑工程施工类)。 注：以2022年1月1日至今已签订施工合同复印件为准。 组织机构(0-4分) 组织机构健全，项目部主要管理人员配备齐全，至少包含五大员（安全员、施工员、质量员、材料员、资料员），在此基础上每增加一名安全员或施工员或质量员或材料员或资料员得2分，最多得4分。 注：以人员培训合格证书或岗位证书复印件为准，且增加人员不得与基础要求人员重复。</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主要材料选用情况</w:t>
            </w:r>
          </w:p>
        </w:tc>
        <w:tc>
          <w:tcPr>
            <w:tcW w:type="dxa" w:w="2492"/>
          </w:tcPr>
          <w:p>
            <w:pPr>
              <w:pStyle w:val="null3"/>
            </w:pPr>
            <w:r>
              <w:rPr>
                <w:rFonts w:ascii="仿宋_GB2312" w:hAnsi="仿宋_GB2312" w:cs="仿宋_GB2312" w:eastAsia="仿宋_GB2312"/>
              </w:rPr>
              <w:t>针对本项目提供的主要材料选用情况，包含： ①针对本项目提供拟投入主要材料清单的合理性、完整性、实用性； ②主要材料的产品选型情况、材料品质、环保要求。 注：每具有一项得1分，最多得2分。在此基础上，方案中存在缺陷的，每1项中每有1处扣0.5分，每项最多扣1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根据提供的2022年1月1日至今同类项目合同，（以合同签订日期为准，仅限供应商本身，提供合同关键页、盖章页）进行评定，每份计2分，最高计8分。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针对本项目提供的保修方案，包含： ①质量保证期内的保障工作服务方案及工作计划； ②有巡查或复查计划； ③对工程维修服务响应时限有明确的承诺。 注：每具有一项得2分，最多得6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最低有效报价得70分。以本次最低有效磋商报价为基准价，磋商报价得分=(基准价÷最后磋商报价)×价格权值×100。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