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E978D">
      <w:pPr>
        <w:pStyle w:val="2"/>
        <w:rPr>
          <w:rFonts w:hint="eastAsia" w:ascii="Times New Roman" w:hAnsi="Times New Roman" w:eastAsia="宋体" w:cs="Times New Roman"/>
          <w:b/>
          <w:caps w:val="0"/>
          <w:color w:val="auto"/>
          <w:sz w:val="48"/>
          <w:szCs w:val="48"/>
          <w:highlight w:val="none"/>
          <w:lang w:eastAsia="zh-CN"/>
        </w:rPr>
      </w:pPr>
      <w:r>
        <w:rPr>
          <w:rFonts w:hint="default"/>
          <w:b/>
          <w:color w:val="auto"/>
          <w:sz w:val="36"/>
          <w:highlight w:val="none"/>
        </w:rPr>
        <w:t>拟签订的合同文本</w:t>
      </w:r>
      <w:r>
        <w:rPr>
          <w:rFonts w:hint="eastAsia"/>
          <w:b/>
          <w:color w:val="auto"/>
          <w:sz w:val="36"/>
          <w:highlight w:val="none"/>
          <w:lang w:eastAsia="zh-CN"/>
        </w:rPr>
        <w:t>（</w:t>
      </w:r>
      <w:r>
        <w:rPr>
          <w:rFonts w:hint="eastAsia"/>
          <w:b/>
          <w:color w:val="auto"/>
          <w:sz w:val="36"/>
          <w:highlight w:val="none"/>
          <w:lang w:val="en-US" w:eastAsia="zh-CN"/>
        </w:rPr>
        <w:t>参考格式</w:t>
      </w:r>
      <w:r>
        <w:rPr>
          <w:rFonts w:hint="eastAsia"/>
          <w:b/>
          <w:color w:val="auto"/>
          <w:sz w:val="36"/>
          <w:highlight w:val="none"/>
          <w:lang w:eastAsia="zh-CN"/>
        </w:rPr>
        <w:t>）</w:t>
      </w:r>
    </w:p>
    <w:p w14:paraId="53CF9891">
      <w:pPr>
        <w:spacing w:line="360" w:lineRule="auto"/>
        <w:jc w:val="center"/>
        <w:rPr>
          <w:rFonts w:hint="eastAsia" w:ascii="宋体" w:hAnsi="宋体" w:eastAsia="宋体" w:cs="宋体"/>
          <w:b/>
          <w:bCs/>
          <w:caps w:val="0"/>
          <w:color w:val="auto"/>
          <w:spacing w:val="26"/>
          <w:sz w:val="36"/>
          <w:szCs w:val="36"/>
          <w:highlight w:val="none"/>
          <w:u w:val="single"/>
        </w:rPr>
      </w:pPr>
    </w:p>
    <w:p w14:paraId="0B187357">
      <w:pPr>
        <w:spacing w:line="360" w:lineRule="auto"/>
        <w:jc w:val="center"/>
        <w:rPr>
          <w:rFonts w:hint="eastAsia" w:ascii="宋体" w:hAnsi="宋体" w:eastAsia="宋体" w:cs="宋体"/>
          <w:b/>
          <w:bCs/>
          <w:caps w:val="0"/>
          <w:color w:val="auto"/>
          <w:spacing w:val="26"/>
          <w:sz w:val="36"/>
          <w:szCs w:val="36"/>
          <w:highlight w:val="none"/>
          <w:u w:val="single"/>
        </w:rPr>
      </w:pPr>
    </w:p>
    <w:p w14:paraId="1F3C01D8">
      <w:pPr>
        <w:spacing w:line="360" w:lineRule="auto"/>
        <w:jc w:val="center"/>
        <w:outlineLvl w:val="9"/>
        <w:rPr>
          <w:rFonts w:hint="eastAsia" w:ascii="Times New Roman" w:hAnsi="Times New Roman" w:eastAsia="宋体" w:cs="Times New Roman"/>
          <w:b/>
          <w:bCs/>
          <w:caps w:val="0"/>
          <w:snapToGrid w:val="0"/>
          <w:color w:val="auto"/>
          <w:kern w:val="0"/>
          <w:sz w:val="44"/>
          <w:szCs w:val="44"/>
          <w:lang w:val="en-US" w:eastAsia="zh-CN" w:bidi="ar-SA"/>
        </w:rPr>
      </w:pPr>
      <w:r>
        <w:rPr>
          <w:rFonts w:hint="eastAsia" w:ascii="Times New Roman" w:hAnsi="Times New Roman" w:eastAsia="宋体" w:cs="Times New Roman"/>
          <w:b/>
          <w:bCs/>
          <w:caps w:val="0"/>
          <w:snapToGrid w:val="0"/>
          <w:color w:val="auto"/>
          <w:kern w:val="0"/>
          <w:sz w:val="44"/>
          <w:szCs w:val="44"/>
          <w:lang w:val="en-US" w:eastAsia="zh-CN" w:bidi="ar-SA"/>
        </w:rPr>
        <w:t>2025年陕西省优先监管地块重点监测项目</w:t>
      </w:r>
    </w:p>
    <w:p w14:paraId="191ECF94">
      <w:pPr>
        <w:spacing w:line="360" w:lineRule="auto"/>
        <w:jc w:val="center"/>
        <w:outlineLvl w:val="9"/>
        <w:rPr>
          <w:rFonts w:hint="eastAsia" w:ascii="宋体" w:hAnsi="宋体" w:eastAsia="宋体" w:cs="宋体"/>
          <w:b/>
          <w:bCs/>
          <w:caps w:val="0"/>
          <w:color w:val="auto"/>
          <w:sz w:val="84"/>
          <w:szCs w:val="84"/>
          <w:highlight w:val="none"/>
          <w:lang w:eastAsia="zh-CN"/>
        </w:rPr>
      </w:pPr>
    </w:p>
    <w:p w14:paraId="73C8EC21">
      <w:pPr>
        <w:spacing w:line="360" w:lineRule="auto"/>
        <w:jc w:val="center"/>
        <w:outlineLvl w:val="9"/>
        <w:rPr>
          <w:rFonts w:hint="eastAsia" w:ascii="宋体" w:hAnsi="宋体" w:eastAsia="宋体" w:cs="宋体"/>
          <w:b/>
          <w:bCs/>
          <w:caps w:val="0"/>
          <w:color w:val="auto"/>
          <w:sz w:val="84"/>
          <w:szCs w:val="84"/>
          <w:highlight w:val="none"/>
        </w:rPr>
      </w:pPr>
      <w:r>
        <w:rPr>
          <w:rFonts w:hint="eastAsia" w:ascii="宋体" w:hAnsi="宋体" w:eastAsia="宋体" w:cs="宋体"/>
          <w:b/>
          <w:bCs/>
          <w:caps w:val="0"/>
          <w:color w:val="auto"/>
          <w:sz w:val="84"/>
          <w:szCs w:val="84"/>
          <w:highlight w:val="none"/>
          <w:lang w:eastAsia="zh-CN"/>
        </w:rPr>
        <w:t>服务</w:t>
      </w:r>
      <w:r>
        <w:rPr>
          <w:rFonts w:hint="eastAsia" w:ascii="宋体" w:hAnsi="宋体" w:eastAsia="宋体" w:cs="宋体"/>
          <w:b/>
          <w:bCs/>
          <w:caps w:val="0"/>
          <w:color w:val="auto"/>
          <w:sz w:val="84"/>
          <w:szCs w:val="84"/>
          <w:highlight w:val="none"/>
        </w:rPr>
        <w:t>合同</w:t>
      </w:r>
      <w:bookmarkStart w:id="63" w:name="_GoBack"/>
      <w:bookmarkEnd w:id="63"/>
    </w:p>
    <w:p w14:paraId="2FF7AF0B">
      <w:pPr>
        <w:spacing w:line="360" w:lineRule="auto"/>
        <w:jc w:val="center"/>
        <w:outlineLvl w:val="9"/>
        <w:rPr>
          <w:rFonts w:hint="eastAsia" w:ascii="宋体" w:hAnsi="宋体" w:eastAsia="宋体" w:cs="宋体"/>
          <w:b/>
          <w:bCs/>
          <w:caps w:val="0"/>
          <w:color w:val="auto"/>
          <w:sz w:val="32"/>
          <w:szCs w:val="32"/>
          <w:highlight w:val="none"/>
        </w:rPr>
      </w:pPr>
    </w:p>
    <w:p w14:paraId="1AB212FE">
      <w:pPr>
        <w:spacing w:line="360" w:lineRule="auto"/>
        <w:jc w:val="center"/>
        <w:outlineLvl w:val="9"/>
        <w:rPr>
          <w:rFonts w:hint="eastAsia" w:ascii="宋体" w:hAnsi="宋体" w:eastAsia="宋体" w:cs="宋体"/>
          <w:b/>
          <w:bCs/>
          <w:caps w:val="0"/>
          <w:color w:val="auto"/>
          <w:sz w:val="32"/>
          <w:szCs w:val="32"/>
          <w:highlight w:val="none"/>
        </w:rPr>
      </w:pPr>
    </w:p>
    <w:p w14:paraId="0262A8F7">
      <w:pPr>
        <w:spacing w:line="360" w:lineRule="auto"/>
        <w:jc w:val="center"/>
        <w:outlineLvl w:val="9"/>
        <w:rPr>
          <w:rFonts w:hint="eastAsia" w:ascii="宋体" w:hAnsi="宋体" w:eastAsia="宋体" w:cs="宋体"/>
          <w:b/>
          <w:bCs/>
          <w:caps w:val="0"/>
          <w:color w:val="auto"/>
          <w:sz w:val="32"/>
          <w:szCs w:val="32"/>
          <w:highlight w:val="none"/>
        </w:rPr>
      </w:pPr>
    </w:p>
    <w:p w14:paraId="006A2F3C">
      <w:pPr>
        <w:spacing w:line="360" w:lineRule="auto"/>
        <w:jc w:val="center"/>
        <w:outlineLvl w:val="9"/>
        <w:rPr>
          <w:rFonts w:hint="default" w:ascii="宋体" w:hAnsi="宋体" w:eastAsia="宋体" w:cs="宋体"/>
          <w:b/>
          <w:bCs/>
          <w:caps w:val="0"/>
          <w:color w:val="auto"/>
          <w:sz w:val="32"/>
          <w:szCs w:val="32"/>
          <w:highlight w:val="none"/>
          <w:lang w:val="en-US"/>
        </w:rPr>
      </w:pPr>
      <w:r>
        <w:rPr>
          <w:rFonts w:hint="eastAsia" w:ascii="宋体" w:hAnsi="宋体" w:eastAsia="宋体" w:cs="宋体"/>
          <w:b/>
          <w:bCs/>
          <w:caps w:val="0"/>
          <w:color w:val="auto"/>
          <w:sz w:val="32"/>
          <w:szCs w:val="32"/>
          <w:highlight w:val="none"/>
        </w:rPr>
        <w:t xml:space="preserve">项目编号： </w:t>
      </w:r>
      <w:r>
        <w:rPr>
          <w:rFonts w:hint="eastAsia" w:ascii="宋体" w:hAnsi="宋体" w:eastAsia="宋体" w:cs="宋体"/>
          <w:b/>
          <w:bCs/>
          <w:caps w:val="0"/>
          <w:color w:val="auto"/>
          <w:sz w:val="32"/>
          <w:szCs w:val="32"/>
          <w:highlight w:val="none"/>
          <w:lang w:val="en-US" w:eastAsia="zh-CN"/>
        </w:rPr>
        <w:t>CYJK-ZFCG-2025-003</w:t>
      </w:r>
    </w:p>
    <w:p w14:paraId="4073CF57">
      <w:pPr>
        <w:spacing w:line="360" w:lineRule="auto"/>
        <w:outlineLvl w:val="9"/>
        <w:rPr>
          <w:rFonts w:hint="eastAsia" w:ascii="宋体" w:hAnsi="宋体" w:eastAsia="宋体" w:cs="宋体"/>
          <w:b/>
          <w:caps w:val="0"/>
          <w:color w:val="auto"/>
          <w:sz w:val="32"/>
          <w:szCs w:val="32"/>
          <w:highlight w:val="none"/>
        </w:rPr>
      </w:pPr>
    </w:p>
    <w:p w14:paraId="485CE7B1">
      <w:pPr>
        <w:spacing w:line="360" w:lineRule="auto"/>
        <w:outlineLvl w:val="9"/>
        <w:rPr>
          <w:rFonts w:hint="eastAsia" w:ascii="宋体" w:hAnsi="宋体" w:eastAsia="宋体" w:cs="宋体"/>
          <w:b/>
          <w:caps w:val="0"/>
          <w:color w:val="auto"/>
          <w:sz w:val="32"/>
          <w:szCs w:val="32"/>
          <w:highlight w:val="none"/>
        </w:rPr>
      </w:pPr>
    </w:p>
    <w:p w14:paraId="07CE4A3E">
      <w:pPr>
        <w:spacing w:line="360" w:lineRule="auto"/>
        <w:outlineLvl w:val="9"/>
        <w:rPr>
          <w:rFonts w:hint="eastAsia" w:ascii="宋体" w:hAnsi="宋体" w:eastAsia="宋体" w:cs="宋体"/>
          <w:b/>
          <w:caps w:val="0"/>
          <w:color w:val="auto"/>
          <w:sz w:val="32"/>
          <w:szCs w:val="32"/>
          <w:highlight w:val="none"/>
        </w:rPr>
      </w:pPr>
    </w:p>
    <w:p w14:paraId="49878A92">
      <w:pPr>
        <w:spacing w:line="360" w:lineRule="auto"/>
        <w:ind w:firstLine="904" w:firstLineChars="300"/>
        <w:outlineLvl w:val="9"/>
        <w:rPr>
          <w:rFonts w:hint="eastAsia" w:ascii="宋体" w:hAnsi="宋体" w:eastAsia="宋体" w:cs="宋体"/>
          <w:b/>
          <w:bCs/>
          <w:caps w:val="0"/>
          <w:color w:val="auto"/>
          <w:sz w:val="30"/>
          <w:szCs w:val="30"/>
          <w:highlight w:val="none"/>
        </w:rPr>
      </w:pPr>
    </w:p>
    <w:p w14:paraId="3EED3A38">
      <w:pPr>
        <w:spacing w:line="360" w:lineRule="auto"/>
        <w:ind w:firstLine="904" w:firstLineChars="300"/>
        <w:outlineLvl w:val="9"/>
        <w:rPr>
          <w:rFonts w:hint="eastAsia" w:ascii="宋体" w:hAnsi="宋体" w:eastAsia="宋体" w:cs="宋体"/>
          <w:b/>
          <w:bCs/>
          <w:caps w:val="0"/>
          <w:color w:val="auto"/>
          <w:sz w:val="30"/>
          <w:szCs w:val="30"/>
          <w:highlight w:val="none"/>
        </w:rPr>
      </w:pPr>
    </w:p>
    <w:p w14:paraId="78645946">
      <w:pPr>
        <w:spacing w:line="360" w:lineRule="auto"/>
        <w:ind w:firstLine="904" w:firstLineChars="300"/>
        <w:outlineLvl w:val="9"/>
        <w:rPr>
          <w:rFonts w:hint="eastAsia" w:ascii="宋体" w:hAnsi="宋体" w:eastAsia="宋体" w:cs="宋体"/>
          <w:b/>
          <w:bCs/>
          <w:caps w:val="0"/>
          <w:color w:val="auto"/>
          <w:sz w:val="30"/>
          <w:szCs w:val="30"/>
          <w:highlight w:val="none"/>
          <w:u w:val="single"/>
        </w:rPr>
      </w:pPr>
      <w:r>
        <w:rPr>
          <w:rFonts w:hint="eastAsia" w:ascii="宋体" w:hAnsi="宋体" w:eastAsia="宋体" w:cs="宋体"/>
          <w:b/>
          <w:bCs/>
          <w:caps w:val="0"/>
          <w:color w:val="auto"/>
          <w:sz w:val="30"/>
          <w:szCs w:val="30"/>
          <w:highlight w:val="none"/>
        </w:rPr>
        <w:t>采购人：</w:t>
      </w:r>
      <w:r>
        <w:rPr>
          <w:rFonts w:hint="eastAsia" w:ascii="宋体" w:hAnsi="宋体" w:eastAsia="宋体" w:cs="宋体"/>
          <w:b/>
          <w:bCs/>
          <w:caps w:val="0"/>
          <w:color w:val="auto"/>
          <w:sz w:val="30"/>
          <w:szCs w:val="30"/>
          <w:highlight w:val="none"/>
          <w:u w:val="single"/>
        </w:rPr>
        <w:t xml:space="preserve">                         </w:t>
      </w:r>
    </w:p>
    <w:p w14:paraId="3DA37A05">
      <w:pPr>
        <w:spacing w:line="360" w:lineRule="auto"/>
        <w:ind w:firstLine="904" w:firstLineChars="300"/>
        <w:outlineLvl w:val="9"/>
        <w:rPr>
          <w:rFonts w:hint="eastAsia" w:ascii="宋体" w:hAnsi="宋体" w:eastAsia="宋体" w:cs="宋体"/>
          <w:b/>
          <w:bCs/>
          <w:caps w:val="0"/>
          <w:color w:val="auto"/>
          <w:sz w:val="30"/>
          <w:szCs w:val="30"/>
          <w:highlight w:val="none"/>
        </w:rPr>
      </w:pPr>
      <w:r>
        <w:rPr>
          <w:rFonts w:hint="eastAsia" w:ascii="宋体" w:hAnsi="宋体" w:eastAsia="宋体" w:cs="宋体"/>
          <w:b/>
          <w:bCs/>
          <w:caps w:val="0"/>
          <w:color w:val="auto"/>
          <w:sz w:val="30"/>
          <w:szCs w:val="30"/>
          <w:highlight w:val="none"/>
          <w:lang w:eastAsia="zh-CN"/>
        </w:rPr>
        <w:t>服务</w:t>
      </w:r>
      <w:r>
        <w:rPr>
          <w:rFonts w:hint="eastAsia" w:ascii="宋体" w:hAnsi="宋体" w:eastAsia="宋体" w:cs="宋体"/>
          <w:b/>
          <w:bCs/>
          <w:caps w:val="0"/>
          <w:color w:val="auto"/>
          <w:sz w:val="30"/>
          <w:szCs w:val="30"/>
          <w:highlight w:val="none"/>
        </w:rPr>
        <w:t>方：</w:t>
      </w:r>
      <w:r>
        <w:rPr>
          <w:rFonts w:hint="eastAsia" w:ascii="宋体" w:hAnsi="宋体" w:eastAsia="宋体" w:cs="宋体"/>
          <w:b/>
          <w:bCs/>
          <w:caps w:val="0"/>
          <w:color w:val="auto"/>
          <w:sz w:val="30"/>
          <w:szCs w:val="30"/>
          <w:highlight w:val="none"/>
          <w:u w:val="single"/>
        </w:rPr>
        <w:t xml:space="preserve">                         </w:t>
      </w:r>
    </w:p>
    <w:p w14:paraId="0869E6E2">
      <w:pPr>
        <w:spacing w:line="360" w:lineRule="auto"/>
        <w:jc w:val="center"/>
        <w:outlineLvl w:val="9"/>
        <w:rPr>
          <w:rFonts w:hint="eastAsia" w:ascii="宋体" w:hAnsi="宋体" w:eastAsia="宋体" w:cs="宋体"/>
          <w:b/>
          <w:caps w:val="0"/>
          <w:color w:val="auto"/>
          <w:sz w:val="30"/>
          <w:szCs w:val="30"/>
          <w:highlight w:val="none"/>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lang w:val="en-US" w:eastAsia="zh-CN"/>
        </w:rPr>
        <w:t>五</w:t>
      </w:r>
      <w:r>
        <w:rPr>
          <w:rFonts w:hint="eastAsia" w:ascii="宋体" w:hAnsi="宋体" w:eastAsia="宋体" w:cs="宋体"/>
          <w:b/>
          <w:bCs/>
          <w:caps w:val="0"/>
          <w:color w:val="auto"/>
          <w:spacing w:val="26"/>
          <w:sz w:val="30"/>
          <w:szCs w:val="30"/>
          <w:highlight w:val="none"/>
        </w:rPr>
        <w:t>年  月  日</w:t>
      </w:r>
      <w:r>
        <w:rPr>
          <w:rFonts w:hint="eastAsia" w:ascii="宋体" w:hAnsi="宋体" w:eastAsia="宋体" w:cs="宋体"/>
          <w:b/>
          <w:caps w:val="0"/>
          <w:color w:val="auto"/>
          <w:sz w:val="44"/>
          <w:szCs w:val="44"/>
          <w:highlight w:val="none"/>
          <w:lang w:eastAsia="zh-CN"/>
        </w:rPr>
        <w:br w:type="page"/>
      </w:r>
      <w:r>
        <w:rPr>
          <w:rFonts w:hint="eastAsia" w:ascii="宋体" w:hAnsi="宋体" w:eastAsia="宋体" w:cs="宋体"/>
          <w:b/>
          <w:caps w:val="0"/>
          <w:color w:val="auto"/>
          <w:sz w:val="44"/>
          <w:szCs w:val="44"/>
          <w:highlight w:val="none"/>
          <w:lang w:eastAsia="zh-CN"/>
        </w:rPr>
        <w:t>服务</w:t>
      </w:r>
      <w:r>
        <w:rPr>
          <w:rFonts w:hint="eastAsia" w:ascii="宋体" w:hAnsi="宋体" w:eastAsia="宋体" w:cs="宋体"/>
          <w:b/>
          <w:caps w:val="0"/>
          <w:color w:val="auto"/>
          <w:sz w:val="44"/>
          <w:szCs w:val="44"/>
          <w:highlight w:val="none"/>
        </w:rPr>
        <w:t>合同</w:t>
      </w:r>
    </w:p>
    <w:p w14:paraId="37D185A1">
      <w:pPr>
        <w:shd w:val="clear" w:color="auto" w:fill="FFFFFF"/>
        <w:spacing w:before="312" w:beforeLines="100" w:after="312" w:afterLines="100" w:line="360" w:lineRule="auto"/>
        <w:ind w:firstLine="482" w:firstLineChars="200"/>
        <w:outlineLvl w:val="9"/>
        <w:rPr>
          <w:rFonts w:hint="eastAsia" w:ascii="宋体" w:hAnsi="宋体" w:eastAsia="宋体" w:cs="宋体"/>
          <w:b/>
          <w:caps w:val="0"/>
          <w:color w:val="auto"/>
          <w:sz w:val="24"/>
          <w:szCs w:val="24"/>
          <w:highlight w:val="none"/>
        </w:rPr>
      </w:pPr>
      <w:r>
        <w:rPr>
          <w:rFonts w:hint="eastAsia" w:ascii="宋体" w:hAnsi="宋体" w:eastAsia="宋体" w:cs="宋体"/>
          <w:b/>
          <w:bCs/>
          <w:caps w:val="0"/>
          <w:color w:val="auto"/>
          <w:sz w:val="24"/>
          <w:szCs w:val="24"/>
          <w:highlight w:val="none"/>
        </w:rPr>
        <w:t>甲方：</w:t>
      </w:r>
      <w:r>
        <w:rPr>
          <w:rFonts w:hint="eastAsia" w:ascii="宋体" w:hAnsi="宋体" w:eastAsia="宋体" w:cs="宋体"/>
          <w:caps w:val="0"/>
          <w:color w:val="auto"/>
          <w:sz w:val="24"/>
          <w:szCs w:val="24"/>
          <w:highlight w:val="none"/>
          <w:u w:val="single"/>
        </w:rPr>
        <w:t xml:space="preserve">     </w:t>
      </w:r>
      <w:r>
        <w:rPr>
          <w:rFonts w:hint="eastAsia" w:ascii="宋体" w:hAnsi="宋体" w:eastAsia="宋体" w:cs="宋体"/>
          <w:b/>
          <w:bCs/>
          <w:caps w:val="0"/>
          <w:color w:val="auto"/>
          <w:sz w:val="24"/>
          <w:szCs w:val="24"/>
          <w:highlight w:val="none"/>
          <w:u w:val="single"/>
        </w:rPr>
        <w:t xml:space="preserve">                     </w:t>
      </w:r>
    </w:p>
    <w:p w14:paraId="725A920E">
      <w:pPr>
        <w:shd w:val="clear" w:color="auto" w:fill="FFFFFF"/>
        <w:spacing w:before="312" w:beforeLines="100" w:after="312" w:afterLines="100" w:line="360" w:lineRule="auto"/>
        <w:ind w:firstLine="482" w:firstLineChars="200"/>
        <w:outlineLvl w:val="9"/>
        <w:rPr>
          <w:rFonts w:hint="eastAsia" w:ascii="宋体" w:hAnsi="宋体" w:eastAsia="宋体" w:cs="宋体"/>
          <w:b/>
          <w:caps w:val="0"/>
          <w:color w:val="auto"/>
          <w:sz w:val="24"/>
          <w:szCs w:val="24"/>
          <w:highlight w:val="none"/>
        </w:rPr>
      </w:pPr>
      <w:r>
        <w:rPr>
          <w:rFonts w:hint="eastAsia" w:ascii="宋体" w:hAnsi="宋体" w:eastAsia="宋体" w:cs="宋体"/>
          <w:b/>
          <w:bCs/>
          <w:caps w:val="0"/>
          <w:color w:val="auto"/>
          <w:sz w:val="24"/>
          <w:szCs w:val="24"/>
          <w:highlight w:val="none"/>
        </w:rPr>
        <w:t>乙方：</w:t>
      </w:r>
      <w:r>
        <w:rPr>
          <w:rFonts w:hint="eastAsia" w:ascii="宋体" w:hAnsi="宋体" w:eastAsia="宋体" w:cs="宋体"/>
          <w:bCs/>
          <w:caps w:val="0"/>
          <w:color w:val="auto"/>
          <w:sz w:val="24"/>
          <w:szCs w:val="24"/>
          <w:highlight w:val="none"/>
          <w:u w:val="single"/>
        </w:rPr>
        <w:t xml:space="preserve">                         </w:t>
      </w:r>
      <w:r>
        <w:rPr>
          <w:rFonts w:hint="eastAsia" w:ascii="宋体" w:hAnsi="宋体" w:eastAsia="宋体" w:cs="宋体"/>
          <w:b/>
          <w:bCs/>
          <w:caps w:val="0"/>
          <w:color w:val="auto"/>
          <w:sz w:val="24"/>
          <w:szCs w:val="24"/>
          <w:highlight w:val="none"/>
          <w:u w:val="single"/>
        </w:rPr>
        <w:t xml:space="preserve"> </w:t>
      </w:r>
    </w:p>
    <w:p w14:paraId="2395FD26">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》与项目行业有关的法律法规，以及</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》，乙方的《</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en-US" w:eastAsia="zh-CN"/>
        </w:rPr>
        <w:t>成交通知书</w:t>
      </w:r>
      <w:r>
        <w:rPr>
          <w:rFonts w:hint="eastAsia" w:ascii="宋体" w:hAnsi="宋体" w:eastAsia="宋体" w:cs="宋体"/>
          <w:color w:val="auto"/>
          <w:sz w:val="24"/>
          <w:szCs w:val="24"/>
          <w:highlight w:val="none"/>
        </w:rPr>
        <w:t>》，甲、乙双方同意签订本合同。详细技术说明及其他有关合同项目的特定信息由合同附件予以说明，合同附件及本项目的《</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成交通知书</w:t>
      </w:r>
      <w:r>
        <w:rPr>
          <w:rFonts w:hint="eastAsia" w:ascii="宋体" w:hAnsi="宋体" w:eastAsia="宋体" w:cs="宋体"/>
          <w:color w:val="auto"/>
          <w:sz w:val="24"/>
          <w:szCs w:val="24"/>
          <w:highlight w:val="none"/>
        </w:rPr>
        <w:t xml:space="preserve">》等均为本合同的组成部分。 </w:t>
      </w:r>
    </w:p>
    <w:p w14:paraId="3DA5548D">
      <w:pPr>
        <w:numPr>
          <w:ilvl w:val="0"/>
          <w:numId w:val="1"/>
        </w:numPr>
        <w:spacing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项目基本情况</w:t>
      </w:r>
    </w:p>
    <w:p w14:paraId="758C271C">
      <w:pPr>
        <w:keepNext w:val="0"/>
        <w:keepLines w:val="0"/>
        <w:pageBreakBefore w:val="0"/>
        <w:widowControl w:val="0"/>
        <w:kinsoku/>
        <w:wordWrap/>
        <w:overflowPunct/>
        <w:topLinePunct w:val="0"/>
        <w:autoSpaceDE/>
        <w:autoSpaceDN/>
        <w:bidi w:val="0"/>
        <w:adjustRightInd/>
        <w:snapToGrid/>
        <w:spacing w:line="360" w:lineRule="auto"/>
        <w:ind w:firstLine="0"/>
        <w:textAlignment w:val="auto"/>
        <w:outlineLvl w:val="9"/>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non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p>
    <w:p w14:paraId="6E2A0087">
      <w:pPr>
        <w:numPr>
          <w:ilvl w:val="0"/>
          <w:numId w:val="1"/>
        </w:numPr>
        <w:spacing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合同期限</w:t>
      </w:r>
    </w:p>
    <w:p w14:paraId="7A95B7CA">
      <w:pPr>
        <w:spacing w:line="360" w:lineRule="auto"/>
        <w:ind w:firstLine="0" w:firstLineChars="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299D788E">
      <w:pPr>
        <w:numPr>
          <w:ilvl w:val="0"/>
          <w:numId w:val="1"/>
        </w:numPr>
        <w:spacing w:line="360" w:lineRule="auto"/>
        <w:outlineLvl w:val="9"/>
        <w:rPr>
          <w:rFonts w:hint="eastAsia" w:ascii="宋体" w:hAnsi="宋体" w:eastAsia="宋体" w:cs="宋体"/>
          <w:b/>
          <w:color w:val="auto"/>
          <w:sz w:val="24"/>
          <w:szCs w:val="24"/>
          <w:highlight w:val="none"/>
        </w:rPr>
      </w:pPr>
      <w:bookmarkStart w:id="0" w:name="_Toc225670751"/>
      <w:bookmarkStart w:id="1" w:name="_Toc212019594"/>
      <w:bookmarkStart w:id="2" w:name="_Toc286993786"/>
      <w:bookmarkStart w:id="3" w:name="_Toc251768862"/>
      <w:bookmarkStart w:id="4" w:name="_Toc282696226"/>
      <w:bookmarkStart w:id="5" w:name="_Toc247334841"/>
      <w:bookmarkStart w:id="6" w:name="_Toc211854449"/>
      <w:bookmarkStart w:id="7" w:name="_Toc211911348"/>
      <w:bookmarkStart w:id="8" w:name="_Toc283019214"/>
      <w:bookmarkStart w:id="9" w:name="_Toc232492928"/>
      <w:bookmarkStart w:id="10" w:name="_Toc185395249"/>
      <w:bookmarkStart w:id="11" w:name="_Toc239568418"/>
      <w:bookmarkStart w:id="12" w:name="_Toc237145406"/>
      <w:bookmarkStart w:id="13" w:name="_Toc241833903"/>
      <w:bookmarkStart w:id="14" w:name="_Toc225244852"/>
      <w:bookmarkStart w:id="15" w:name="_Toc239233914"/>
      <w:bookmarkStart w:id="16" w:name="_Toc238984975"/>
      <w:bookmarkStart w:id="17" w:name="_Toc225654644"/>
      <w:r>
        <w:rPr>
          <w:rFonts w:hint="eastAsia" w:ascii="宋体" w:hAnsi="宋体" w:eastAsia="宋体" w:cs="宋体"/>
          <w:b/>
          <w:color w:val="auto"/>
          <w:sz w:val="24"/>
          <w:szCs w:val="24"/>
          <w:highlight w:val="none"/>
        </w:rPr>
        <w:t>服务内容与质量标准</w:t>
      </w:r>
    </w:p>
    <w:p w14:paraId="7CF83006">
      <w:pPr>
        <w:numPr>
          <w:ilvl w:val="0"/>
          <w:numId w:val="0"/>
        </w:numPr>
        <w:spacing w:line="360" w:lineRule="auto"/>
        <w:ind w:firstLine="480" w:firstLine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1.</w:t>
      </w:r>
      <w:r>
        <w:rPr>
          <w:rFonts w:hint="eastAsia" w:ascii="宋体" w:hAnsi="宋体" w:eastAsia="宋体" w:cs="宋体"/>
          <w:color w:val="auto"/>
          <w:sz w:val="24"/>
          <w:szCs w:val="24"/>
          <w:highlight w:val="none"/>
          <w:u w:val="single"/>
          <w:lang w:val="en-US" w:eastAsia="zh-CN"/>
        </w:rPr>
        <w:t xml:space="preserve">            </w:t>
      </w:r>
    </w:p>
    <w:p w14:paraId="34D698ED">
      <w:pPr>
        <w:numPr>
          <w:ilvl w:val="0"/>
          <w:numId w:val="0"/>
        </w:numPr>
        <w:spacing w:line="360" w:lineRule="auto"/>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single"/>
          <w:lang w:val="en-US" w:eastAsia="zh-CN"/>
        </w:rPr>
        <w:t xml:space="preserve">            </w:t>
      </w:r>
    </w:p>
    <w:p w14:paraId="4051B4C2">
      <w:pPr>
        <w:numPr>
          <w:ilvl w:val="0"/>
          <w:numId w:val="0"/>
        </w:numPr>
        <w:spacing w:line="360" w:lineRule="auto"/>
        <w:ind w:firstLine="480" w:firstLine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3.</w:t>
      </w:r>
      <w:r>
        <w:rPr>
          <w:rFonts w:hint="eastAsia" w:ascii="宋体" w:hAnsi="宋体" w:eastAsia="宋体" w:cs="宋体"/>
          <w:color w:val="auto"/>
          <w:sz w:val="24"/>
          <w:szCs w:val="24"/>
          <w:highlight w:val="none"/>
          <w:u w:val="single"/>
          <w:lang w:val="en-US" w:eastAsia="zh-CN"/>
        </w:rPr>
        <w:t xml:space="preserve">            </w:t>
      </w:r>
    </w:p>
    <w:p w14:paraId="2C311FA9">
      <w:pPr>
        <w:numPr>
          <w:ilvl w:val="0"/>
          <w:numId w:val="1"/>
        </w:numPr>
        <w:spacing w:line="360" w:lineRule="auto"/>
        <w:outlineLvl w:val="9"/>
        <w:rPr>
          <w:rFonts w:hint="eastAsia" w:ascii="宋体" w:hAnsi="宋体" w:eastAsia="宋体" w:cs="宋体"/>
          <w:b/>
          <w:color w:val="auto"/>
          <w:sz w:val="24"/>
          <w:szCs w:val="24"/>
          <w:highlight w:val="none"/>
        </w:rPr>
      </w:pPr>
      <w:bookmarkStart w:id="18" w:name="_Toc32384"/>
      <w:r>
        <w:rPr>
          <w:rFonts w:hint="eastAsia" w:ascii="宋体" w:hAnsi="宋体" w:eastAsia="宋体" w:cs="宋体"/>
          <w:b/>
          <w:color w:val="auto"/>
          <w:sz w:val="24"/>
          <w:szCs w:val="24"/>
          <w:highlight w:val="none"/>
        </w:rPr>
        <w:t>服务费用及支付方式</w:t>
      </w:r>
      <w:bookmarkEnd w:id="18"/>
    </w:p>
    <w:p w14:paraId="1980393E">
      <w:pPr>
        <w:numPr>
          <w:ilvl w:val="0"/>
          <w:numId w:val="2"/>
        </w:numPr>
        <w:spacing w:line="360" w:lineRule="auto"/>
        <w:ind w:left="0" w:firstLine="567"/>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本项目服务费用由以下组成：</w:t>
      </w:r>
    </w:p>
    <w:p w14:paraId="5C9C0FF9">
      <w:pPr>
        <w:pStyle w:val="7"/>
        <w:spacing w:line="360"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066F486">
      <w:pPr>
        <w:numPr>
          <w:ilvl w:val="0"/>
          <w:numId w:val="2"/>
        </w:numPr>
        <w:tabs>
          <w:tab w:val="left" w:pos="780"/>
        </w:tabs>
        <w:spacing w:line="360" w:lineRule="auto"/>
        <w:ind w:left="0" w:firstLine="567"/>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服务费支付方式： </w:t>
      </w:r>
    </w:p>
    <w:p w14:paraId="1DB5DABF">
      <w:pPr>
        <w:tabs>
          <w:tab w:val="left" w:pos="1440"/>
        </w:tabs>
        <w:spacing w:line="360" w:lineRule="auto"/>
        <w:ind w:left="479" w:leftChars="228" w:firstLine="0" w:firstLineChars="0"/>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color w:val="auto"/>
          <w:sz w:val="24"/>
          <w:szCs w:val="24"/>
          <w:highlight w:val="none"/>
          <w:u w:val="non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br w:type="textWrapping"/>
      </w:r>
      <w:r>
        <w:rPr>
          <w:rFonts w:hint="eastAsia" w:ascii="宋体" w:hAnsi="宋体" w:eastAsia="宋体" w:cs="宋体"/>
          <w:color w:val="auto"/>
          <w:kern w:val="2"/>
          <w:sz w:val="24"/>
          <w:szCs w:val="24"/>
          <w:highlight w:val="none"/>
          <w:lang w:val="en-US" w:eastAsia="zh-CN" w:bidi="ar-SA"/>
        </w:rPr>
        <w:t>若成交人为中小企业，本合同所约定的支付条款将按《保障中小企业款项支</w:t>
      </w:r>
    </w:p>
    <w:p w14:paraId="0C5FB576">
      <w:pPr>
        <w:pStyle w:val="7"/>
        <w:spacing w:line="360" w:lineRule="auto"/>
        <w:ind w:left="482" w:hanging="480" w:hanging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highlight w:val="none"/>
          <w:lang w:val="en-US" w:eastAsia="zh-CN" w:bidi="ar-SA"/>
        </w:rPr>
        <w:t>付条例》的规定作出相应调整。</w:t>
      </w:r>
      <w:r>
        <w:rPr>
          <w:rFonts w:hint="eastAsia" w:ascii="宋体" w:hAnsi="宋体" w:eastAsia="宋体" w:cs="宋体"/>
          <w:color w:val="auto"/>
          <w:sz w:val="24"/>
          <w:szCs w:val="24"/>
          <w:highlight w:val="none"/>
        </w:rPr>
        <w:t xml:space="preserve"> </w:t>
      </w:r>
    </w:p>
    <w:p w14:paraId="3EF6A6EA">
      <w:pPr>
        <w:numPr>
          <w:ilvl w:val="0"/>
          <w:numId w:val="1"/>
        </w:numPr>
        <w:spacing w:line="360" w:lineRule="auto"/>
        <w:outlineLvl w:val="9"/>
        <w:rPr>
          <w:rFonts w:hint="eastAsia" w:ascii="宋体" w:hAnsi="宋体" w:eastAsia="宋体" w:cs="宋体"/>
          <w:b/>
          <w:color w:val="auto"/>
          <w:sz w:val="24"/>
          <w:szCs w:val="24"/>
          <w:highlight w:val="none"/>
        </w:rPr>
      </w:pPr>
      <w:bookmarkStart w:id="19" w:name="_Toc29268"/>
      <w:r>
        <w:rPr>
          <w:rFonts w:hint="eastAsia" w:ascii="宋体" w:hAnsi="宋体" w:eastAsia="宋体" w:cs="宋体"/>
          <w:b/>
          <w:color w:val="auto"/>
          <w:sz w:val="24"/>
          <w:szCs w:val="24"/>
          <w:highlight w:val="none"/>
        </w:rPr>
        <w:t>知识产权</w:t>
      </w:r>
      <w:bookmarkEnd w:id="19"/>
    </w:p>
    <w:p w14:paraId="7DA18B5C">
      <w:pPr>
        <w:tabs>
          <w:tab w:val="left" w:pos="144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3D32FDEA">
      <w:pPr>
        <w:numPr>
          <w:ilvl w:val="0"/>
          <w:numId w:val="1"/>
        </w:numPr>
        <w:spacing w:line="360" w:lineRule="auto"/>
        <w:outlineLvl w:val="9"/>
        <w:rPr>
          <w:rFonts w:hint="eastAsia" w:ascii="宋体" w:hAnsi="宋体" w:eastAsia="宋体" w:cs="宋体"/>
          <w:b/>
          <w:color w:val="auto"/>
          <w:sz w:val="24"/>
          <w:szCs w:val="24"/>
          <w:highlight w:val="none"/>
        </w:rPr>
      </w:pPr>
      <w:bookmarkStart w:id="20" w:name="_Toc19370"/>
      <w:r>
        <w:rPr>
          <w:rFonts w:hint="eastAsia" w:ascii="宋体" w:hAnsi="宋体" w:eastAsia="宋体" w:cs="宋体"/>
          <w:b/>
          <w:color w:val="auto"/>
          <w:sz w:val="24"/>
          <w:szCs w:val="24"/>
          <w:highlight w:val="none"/>
        </w:rPr>
        <w:t>无产权瑕疵条款</w:t>
      </w:r>
      <w:bookmarkEnd w:id="20"/>
    </w:p>
    <w:p w14:paraId="79ED919E">
      <w:pPr>
        <w:tabs>
          <w:tab w:val="left" w:pos="144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58D6A4CF">
      <w:pPr>
        <w:numPr>
          <w:ilvl w:val="0"/>
          <w:numId w:val="1"/>
        </w:numPr>
        <w:spacing w:line="360" w:lineRule="auto"/>
        <w:outlineLvl w:val="9"/>
        <w:rPr>
          <w:rFonts w:hint="eastAsia" w:ascii="宋体" w:hAnsi="宋体" w:eastAsia="宋体" w:cs="宋体"/>
          <w:b/>
          <w:color w:val="auto"/>
          <w:sz w:val="24"/>
          <w:szCs w:val="24"/>
          <w:highlight w:val="none"/>
        </w:rPr>
      </w:pPr>
      <w:bookmarkStart w:id="21" w:name="_Toc22243"/>
      <w:r>
        <w:rPr>
          <w:rFonts w:hint="eastAsia" w:ascii="宋体" w:hAnsi="宋体" w:eastAsia="宋体" w:cs="宋体"/>
          <w:b/>
          <w:color w:val="auto"/>
          <w:sz w:val="24"/>
          <w:szCs w:val="24"/>
          <w:highlight w:val="none"/>
        </w:rPr>
        <w:t>履约保证金</w:t>
      </w:r>
      <w:bookmarkEnd w:id="21"/>
    </w:p>
    <w:p w14:paraId="775395D4">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乙方交纳人民币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bCs/>
          <w:color w:val="auto"/>
          <w:sz w:val="24"/>
          <w:szCs w:val="24"/>
          <w:highlight w:val="none"/>
          <w:u w:val="none"/>
        </w:rPr>
        <w:t>元</w:t>
      </w:r>
      <w:r>
        <w:rPr>
          <w:rFonts w:hint="eastAsia" w:ascii="宋体" w:hAnsi="宋体" w:eastAsia="宋体" w:cs="宋体"/>
          <w:bCs/>
          <w:color w:val="auto"/>
          <w:sz w:val="24"/>
          <w:szCs w:val="24"/>
          <w:highlight w:val="none"/>
        </w:rPr>
        <w:t>作为本合同的履约保证金。</w:t>
      </w:r>
    </w:p>
    <w:p w14:paraId="60945781">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履约保证金作为违约金的一部分及用于补偿甲方因乙方不能履行合同义务而蒙受的损失。</w:t>
      </w:r>
    </w:p>
    <w:p w14:paraId="2249C28B">
      <w:pPr>
        <w:numPr>
          <w:ilvl w:val="0"/>
          <w:numId w:val="1"/>
        </w:numPr>
        <w:spacing w:line="360" w:lineRule="auto"/>
        <w:outlineLvl w:val="9"/>
        <w:rPr>
          <w:rFonts w:hint="eastAsia" w:ascii="宋体" w:hAnsi="宋体" w:eastAsia="宋体" w:cs="宋体"/>
          <w:b/>
          <w:color w:val="auto"/>
          <w:sz w:val="24"/>
          <w:szCs w:val="24"/>
          <w:highlight w:val="none"/>
        </w:rPr>
      </w:pPr>
      <w:bookmarkStart w:id="22" w:name="_Toc3705"/>
      <w:r>
        <w:rPr>
          <w:rFonts w:hint="eastAsia" w:ascii="宋体" w:hAnsi="宋体" w:eastAsia="宋体" w:cs="宋体"/>
          <w:b/>
          <w:color w:val="auto"/>
          <w:sz w:val="24"/>
          <w:szCs w:val="24"/>
          <w:highlight w:val="none"/>
        </w:rPr>
        <w:t>甲方的权利和义务</w:t>
      </w:r>
      <w:bookmarkEnd w:id="22"/>
    </w:p>
    <w:p w14:paraId="50A2E20B">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17442345">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甲方有权依据双方签订的考评办法对乙方提供的服务进行定期考评。当考评结果未达到标准时，有权依据考评办法约定的数额扣除履约保证金。</w:t>
      </w:r>
    </w:p>
    <w:p w14:paraId="338E5301">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负责检查监督乙方管理工作的实施及制度的执行情况。</w:t>
      </w:r>
    </w:p>
    <w:p w14:paraId="11CFE633">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根据本合同规定，按时向乙方支付应付服务费用。</w:t>
      </w:r>
    </w:p>
    <w:p w14:paraId="469B323E">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国家法律、法规所规定由甲方承担的其它责任。</w:t>
      </w:r>
    </w:p>
    <w:p w14:paraId="431BC372">
      <w:pPr>
        <w:numPr>
          <w:ilvl w:val="0"/>
          <w:numId w:val="1"/>
        </w:numPr>
        <w:spacing w:line="360" w:lineRule="auto"/>
        <w:outlineLvl w:val="9"/>
        <w:rPr>
          <w:rFonts w:hint="eastAsia" w:ascii="宋体" w:hAnsi="宋体" w:eastAsia="宋体" w:cs="宋体"/>
          <w:b/>
          <w:color w:val="auto"/>
          <w:sz w:val="24"/>
          <w:szCs w:val="24"/>
          <w:highlight w:val="none"/>
        </w:rPr>
      </w:pPr>
      <w:bookmarkStart w:id="23" w:name="_Toc16169"/>
      <w:r>
        <w:rPr>
          <w:rFonts w:hint="eastAsia" w:ascii="宋体" w:hAnsi="宋体" w:eastAsia="宋体" w:cs="宋体"/>
          <w:b/>
          <w:color w:val="auto"/>
          <w:sz w:val="24"/>
          <w:szCs w:val="24"/>
          <w:highlight w:val="none"/>
        </w:rPr>
        <w:t>乙方的权利和义务</w:t>
      </w:r>
      <w:bookmarkEnd w:id="23"/>
    </w:p>
    <w:p w14:paraId="2811DC2F">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对本合同规定的委托服务范围内的项目享有管理权及服务义务。</w:t>
      </w:r>
    </w:p>
    <w:p w14:paraId="15282A99">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根据本合同的规定向甲方收取相关服务费用，并有权在本项目管理范围内管理及合理使用。</w:t>
      </w:r>
    </w:p>
    <w:p w14:paraId="25428C38">
      <w:pPr>
        <w:adjustRightInd w:val="0"/>
        <w:spacing w:line="360" w:lineRule="auto"/>
        <w:ind w:firstLine="480" w:firstLineChars="200"/>
        <w:jc w:val="left"/>
        <w:textAlignment w:val="baseline"/>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及时向甲方通告本项目服务范围内有关服务的重大事项，及时配合处理投诉。</w:t>
      </w:r>
    </w:p>
    <w:p w14:paraId="296C2B82">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bCs/>
          <w:color w:val="auto"/>
          <w:sz w:val="24"/>
          <w:szCs w:val="24"/>
          <w:highlight w:val="none"/>
        </w:rPr>
        <w:t>接受项目行业管理部门及政府有关部门的指导，接受甲方的监督。</w:t>
      </w:r>
    </w:p>
    <w:p w14:paraId="5802DAD9">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国家法律、法规所规定由乙方承担的其它责任。</w:t>
      </w:r>
    </w:p>
    <w:p w14:paraId="0A6BD630">
      <w:pPr>
        <w:numPr>
          <w:ilvl w:val="0"/>
          <w:numId w:val="1"/>
        </w:numPr>
        <w:spacing w:line="360" w:lineRule="auto"/>
        <w:outlineLvl w:val="9"/>
        <w:rPr>
          <w:rFonts w:hint="eastAsia" w:ascii="宋体" w:hAnsi="宋体" w:eastAsia="宋体" w:cs="宋体"/>
          <w:b/>
          <w:color w:val="auto"/>
          <w:sz w:val="24"/>
          <w:szCs w:val="24"/>
          <w:highlight w:val="none"/>
        </w:rPr>
      </w:pPr>
      <w:bookmarkStart w:id="24" w:name="_Toc15664"/>
      <w:r>
        <w:rPr>
          <w:rFonts w:hint="eastAsia" w:ascii="宋体" w:hAnsi="宋体" w:eastAsia="宋体" w:cs="宋体"/>
          <w:b/>
          <w:color w:val="auto"/>
          <w:sz w:val="24"/>
          <w:szCs w:val="24"/>
          <w:highlight w:val="none"/>
        </w:rPr>
        <w:t>违约责任</w:t>
      </w:r>
      <w:bookmarkEnd w:id="24"/>
    </w:p>
    <w:p w14:paraId="4CAE589D">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甲乙双方必须遵守本合同并执行合同中的各项规定，保证本合同的正常履行。</w:t>
      </w:r>
    </w:p>
    <w:p w14:paraId="7D985AD6">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C888C05">
      <w:pPr>
        <w:numPr>
          <w:ilvl w:val="0"/>
          <w:numId w:val="1"/>
        </w:numPr>
        <w:spacing w:line="360" w:lineRule="auto"/>
        <w:outlineLvl w:val="9"/>
        <w:rPr>
          <w:rFonts w:hint="eastAsia" w:ascii="宋体" w:hAnsi="宋体" w:eastAsia="宋体" w:cs="宋体"/>
          <w:b/>
          <w:color w:val="auto"/>
          <w:sz w:val="24"/>
          <w:szCs w:val="24"/>
          <w:highlight w:val="none"/>
        </w:rPr>
      </w:pPr>
      <w:bookmarkStart w:id="25" w:name="_Toc3975"/>
      <w:r>
        <w:rPr>
          <w:rFonts w:hint="eastAsia" w:ascii="宋体" w:hAnsi="宋体" w:eastAsia="宋体" w:cs="宋体"/>
          <w:b/>
          <w:color w:val="auto"/>
          <w:sz w:val="24"/>
          <w:szCs w:val="24"/>
          <w:highlight w:val="none"/>
        </w:rPr>
        <w:t>不可抗力事件处理</w:t>
      </w:r>
      <w:bookmarkEnd w:id="25"/>
    </w:p>
    <w:p w14:paraId="2570F122">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在合同有效期内，任何一方因不可抗力事件导致不能履行合同，则合同履行期可延长，其延长期与不可抗力影响期相同。</w:t>
      </w:r>
    </w:p>
    <w:p w14:paraId="5A3C97F7">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不可抗力事件发生后，应立即通知对方，并寄送有关权威机构出具的证明。</w:t>
      </w:r>
    </w:p>
    <w:p w14:paraId="0FEFF1CD">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w:t>
      </w:r>
      <w:r>
        <w:rPr>
          <w:rFonts w:hint="eastAsia" w:ascii="宋体" w:hAnsi="宋体" w:eastAsia="宋体" w:cs="宋体"/>
          <w:color w:val="auto"/>
          <w:sz w:val="24"/>
          <w:szCs w:val="24"/>
          <w:highlight w:val="none"/>
          <w:u w:val="none"/>
        </w:rPr>
        <w:t>延续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E74119D">
      <w:pPr>
        <w:numPr>
          <w:ilvl w:val="0"/>
          <w:numId w:val="1"/>
        </w:numPr>
        <w:spacing w:line="360" w:lineRule="auto"/>
        <w:outlineLvl w:val="9"/>
        <w:rPr>
          <w:rFonts w:hint="eastAsia" w:ascii="宋体" w:hAnsi="宋体" w:eastAsia="宋体" w:cs="宋体"/>
          <w:b/>
          <w:color w:val="auto"/>
          <w:sz w:val="24"/>
          <w:szCs w:val="24"/>
          <w:highlight w:val="none"/>
        </w:rPr>
      </w:pPr>
      <w:bookmarkStart w:id="26" w:name="_Toc232492933"/>
      <w:bookmarkStart w:id="27" w:name="_Toc212019599"/>
      <w:bookmarkStart w:id="28" w:name="_Toc225654649"/>
      <w:bookmarkStart w:id="29" w:name="_Toc225244857"/>
      <w:bookmarkStart w:id="30" w:name="_Toc32052"/>
      <w:bookmarkStart w:id="31" w:name="_Toc286993792"/>
      <w:bookmarkStart w:id="32" w:name="_Toc239568423"/>
      <w:bookmarkStart w:id="33" w:name="_Toc211854454"/>
      <w:bookmarkStart w:id="34" w:name="_Toc237145411"/>
      <w:bookmarkStart w:id="35" w:name="_Toc238984980"/>
      <w:bookmarkStart w:id="36" w:name="_Toc239233919"/>
      <w:bookmarkStart w:id="37" w:name="_Toc211911353"/>
      <w:bookmarkStart w:id="38" w:name="_Toc241833908"/>
      <w:bookmarkStart w:id="39" w:name="_Toc225670756"/>
      <w:bookmarkStart w:id="40" w:name="_Toc247334846"/>
      <w:bookmarkStart w:id="41" w:name="_Toc185395254"/>
      <w:bookmarkStart w:id="42" w:name="_Toc251768867"/>
      <w:r>
        <w:rPr>
          <w:rFonts w:hint="eastAsia" w:ascii="宋体" w:hAnsi="宋体" w:eastAsia="宋体" w:cs="宋体"/>
          <w:b/>
          <w:color w:val="auto"/>
          <w:sz w:val="24"/>
          <w:szCs w:val="24"/>
          <w:highlight w:val="none"/>
        </w:rPr>
        <w:t>解决合同纠纷的方式</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1AB7CDCA">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在执行本合同中发生的或与本合同有关的争端，双方应通过友好协商解决，经协商</w:t>
      </w:r>
      <w:r>
        <w:rPr>
          <w:rFonts w:hint="eastAsia" w:ascii="宋体" w:hAnsi="宋体" w:eastAsia="宋体" w:cs="宋体"/>
          <w:color w:val="auto"/>
          <w:sz w:val="24"/>
          <w:szCs w:val="24"/>
          <w:highlight w:val="none"/>
          <w:u w:val="none"/>
        </w:rPr>
        <w:t>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内不能达成协议时，应提交</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仲裁委员会</w:t>
      </w:r>
      <w:r>
        <w:rPr>
          <w:rFonts w:hint="eastAsia" w:ascii="宋体" w:hAnsi="宋体" w:eastAsia="宋体" w:cs="宋体"/>
          <w:color w:val="auto"/>
          <w:sz w:val="24"/>
          <w:szCs w:val="24"/>
          <w:highlight w:val="none"/>
          <w:u w:val="none"/>
          <w:lang w:eastAsia="zh-CN"/>
        </w:rPr>
        <w:t>予以进行</w:t>
      </w:r>
      <w:r>
        <w:rPr>
          <w:rFonts w:hint="eastAsia" w:ascii="宋体" w:hAnsi="宋体" w:eastAsia="宋体" w:cs="宋体"/>
          <w:color w:val="auto"/>
          <w:sz w:val="24"/>
          <w:szCs w:val="24"/>
          <w:highlight w:val="none"/>
        </w:rPr>
        <w:t>仲裁。</w:t>
      </w:r>
    </w:p>
    <w:p w14:paraId="735542F6">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仲裁裁决应为最终决定，并对双方具有约束力。</w:t>
      </w:r>
    </w:p>
    <w:p w14:paraId="75E0824F">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除另有裁决外，仲裁费应由败诉方负担。 </w:t>
      </w:r>
    </w:p>
    <w:p w14:paraId="7215F5E5">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在仲裁期间，除正在进行仲裁部分外，合同其他部分继续执行。  </w:t>
      </w:r>
    </w:p>
    <w:p w14:paraId="431DB409">
      <w:pPr>
        <w:numPr>
          <w:ilvl w:val="0"/>
          <w:numId w:val="1"/>
        </w:numPr>
        <w:spacing w:line="360" w:lineRule="auto"/>
        <w:outlineLvl w:val="9"/>
        <w:rPr>
          <w:rFonts w:hint="eastAsia" w:ascii="宋体" w:hAnsi="宋体" w:eastAsia="宋体" w:cs="宋体"/>
          <w:b/>
          <w:color w:val="auto"/>
          <w:sz w:val="24"/>
          <w:szCs w:val="24"/>
          <w:highlight w:val="none"/>
        </w:rPr>
      </w:pPr>
      <w:bookmarkStart w:id="43" w:name="_Toc238984981"/>
      <w:bookmarkStart w:id="44" w:name="_Toc247334847"/>
      <w:bookmarkStart w:id="45" w:name="_Toc225654650"/>
      <w:bookmarkStart w:id="46" w:name="_Toc239233920"/>
      <w:bookmarkStart w:id="47" w:name="_Toc212019600"/>
      <w:bookmarkStart w:id="48" w:name="_Toc211911354"/>
      <w:bookmarkStart w:id="49" w:name="_Toc282696231"/>
      <w:bookmarkStart w:id="50" w:name="_Toc251768868"/>
      <w:bookmarkStart w:id="51" w:name="_Toc283019219"/>
      <w:bookmarkStart w:id="52" w:name="_Toc286993793"/>
      <w:bookmarkStart w:id="53" w:name="_Toc237145412"/>
      <w:bookmarkStart w:id="54" w:name="_Toc211854455"/>
      <w:bookmarkStart w:id="55" w:name="_Toc239568424"/>
      <w:bookmarkStart w:id="56" w:name="_Toc225244858"/>
      <w:bookmarkStart w:id="57" w:name="_Toc241833909"/>
      <w:bookmarkStart w:id="58" w:name="_Toc232492934"/>
      <w:bookmarkStart w:id="59" w:name="_Toc185395255"/>
      <w:bookmarkStart w:id="60" w:name="_Toc225670757"/>
      <w:bookmarkStart w:id="61" w:name="_Toc26691"/>
      <w:r>
        <w:rPr>
          <w:rFonts w:hint="eastAsia" w:ascii="宋体" w:hAnsi="宋体" w:eastAsia="宋体" w:cs="宋体"/>
          <w:b/>
          <w:color w:val="auto"/>
          <w:sz w:val="24"/>
          <w:szCs w:val="24"/>
          <w:highlight w:val="none"/>
        </w:rPr>
        <w:t>合同</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rFonts w:hint="eastAsia" w:ascii="宋体" w:hAnsi="宋体" w:eastAsia="宋体" w:cs="宋体"/>
          <w:b/>
          <w:color w:val="auto"/>
          <w:sz w:val="24"/>
          <w:szCs w:val="24"/>
          <w:highlight w:val="none"/>
        </w:rPr>
        <w:t>生效及其他</w:t>
      </w:r>
      <w:bookmarkEnd w:id="61"/>
    </w:p>
    <w:p w14:paraId="0098F608">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合同经双方法定代表人或授权委托代理人签字并加盖单位公章后生效。</w:t>
      </w:r>
    </w:p>
    <w:p w14:paraId="702D73D4">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合同执行中涉及资金和采购内容修改或补充的，须经</w:t>
      </w:r>
      <w:r>
        <w:rPr>
          <w:rFonts w:hint="eastAsia" w:ascii="宋体" w:hAnsi="宋体" w:eastAsia="宋体" w:cs="宋体"/>
          <w:color w:val="auto"/>
          <w:sz w:val="24"/>
          <w:szCs w:val="24"/>
          <w:highlight w:val="none"/>
          <w:lang w:eastAsia="zh-CN"/>
        </w:rPr>
        <w:t>甲方监督</w:t>
      </w:r>
      <w:r>
        <w:rPr>
          <w:rFonts w:hint="eastAsia" w:ascii="宋体" w:hAnsi="宋体" w:eastAsia="宋体" w:cs="宋体"/>
          <w:color w:val="auto"/>
          <w:sz w:val="24"/>
          <w:szCs w:val="24"/>
          <w:highlight w:val="none"/>
        </w:rPr>
        <w:t>部门审批，并签书面补充协议报</w:t>
      </w:r>
      <w:r>
        <w:rPr>
          <w:rFonts w:hint="eastAsia" w:ascii="宋体" w:hAnsi="宋体" w:eastAsia="宋体" w:cs="宋体"/>
          <w:color w:val="auto"/>
          <w:sz w:val="24"/>
          <w:szCs w:val="24"/>
          <w:highlight w:val="none"/>
          <w:lang w:eastAsia="zh-CN"/>
        </w:rPr>
        <w:t>甲方相关行政部门</w:t>
      </w:r>
      <w:r>
        <w:rPr>
          <w:rFonts w:hint="eastAsia" w:ascii="宋体" w:hAnsi="宋体" w:eastAsia="宋体" w:cs="宋体"/>
          <w:color w:val="auto"/>
          <w:sz w:val="24"/>
          <w:szCs w:val="24"/>
          <w:highlight w:val="none"/>
        </w:rPr>
        <w:t>备案，方可作为主合同不可分割的一部分。</w:t>
      </w:r>
    </w:p>
    <w:p w14:paraId="6F32E5A5">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eastAsia="zh-CN"/>
        </w:rPr>
        <w:t>陆</w:t>
      </w:r>
      <w:r>
        <w:rPr>
          <w:rFonts w:hint="eastAsia" w:ascii="宋体" w:hAnsi="宋体" w:eastAsia="宋体" w:cs="宋体"/>
          <w:color w:val="auto"/>
          <w:sz w:val="24"/>
          <w:szCs w:val="24"/>
          <w:highlight w:val="none"/>
        </w:rPr>
        <w:t>份，自双方签章之日起起效。甲方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份，采购代理机构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份，具有同等法律效力。</w:t>
      </w:r>
    </w:p>
    <w:p w14:paraId="4D184461">
      <w:pPr>
        <w:numPr>
          <w:ilvl w:val="0"/>
          <w:numId w:val="1"/>
        </w:numPr>
        <w:spacing w:line="360" w:lineRule="auto"/>
        <w:outlineLvl w:val="9"/>
        <w:rPr>
          <w:rFonts w:hint="eastAsia" w:ascii="宋体" w:hAnsi="宋体" w:eastAsia="宋体" w:cs="宋体"/>
          <w:b/>
          <w:color w:val="auto"/>
          <w:sz w:val="24"/>
          <w:szCs w:val="24"/>
          <w:highlight w:val="none"/>
        </w:rPr>
      </w:pPr>
      <w:bookmarkStart w:id="62" w:name="_Toc9279"/>
      <w:r>
        <w:rPr>
          <w:rFonts w:hint="eastAsia" w:ascii="宋体" w:hAnsi="宋体" w:eastAsia="宋体" w:cs="宋体"/>
          <w:b/>
          <w:color w:val="auto"/>
          <w:sz w:val="24"/>
          <w:szCs w:val="24"/>
          <w:highlight w:val="none"/>
        </w:rPr>
        <w:t>附件</w:t>
      </w:r>
      <w:bookmarkEnd w:id="62"/>
    </w:p>
    <w:p w14:paraId="4EF99D2A">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.竞争性磋商文件</w:t>
      </w:r>
    </w:p>
    <w:p w14:paraId="3C4E6944">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澄清</w:t>
      </w:r>
      <w:r>
        <w:rPr>
          <w:rFonts w:hint="eastAsia" w:ascii="宋体" w:hAnsi="宋体" w:eastAsia="宋体" w:cs="宋体"/>
          <w:color w:val="auto"/>
          <w:sz w:val="24"/>
          <w:szCs w:val="24"/>
          <w:highlight w:val="none"/>
          <w:lang w:eastAsia="zh-CN"/>
        </w:rPr>
        <w:t>（或答疑）</w:t>
      </w:r>
      <w:r>
        <w:rPr>
          <w:rFonts w:hint="eastAsia" w:ascii="宋体" w:hAnsi="宋体" w:eastAsia="宋体" w:cs="宋体"/>
          <w:color w:val="auto"/>
          <w:sz w:val="24"/>
          <w:szCs w:val="24"/>
          <w:highlight w:val="none"/>
        </w:rPr>
        <w:t>文件</w:t>
      </w:r>
    </w:p>
    <w:p w14:paraId="1488F868">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.响应文件</w:t>
      </w:r>
    </w:p>
    <w:p w14:paraId="3ABD8FC1">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成交通知书</w:t>
      </w:r>
    </w:p>
    <w:p w14:paraId="51A7D7FE">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其他</w:t>
      </w:r>
    </w:p>
    <w:p w14:paraId="098D684B">
      <w:pPr>
        <w:spacing w:line="360" w:lineRule="auto"/>
        <w:ind w:firstLine="480" w:firstLineChars="200"/>
        <w:outlineLvl w:val="9"/>
        <w:rPr>
          <w:rFonts w:hint="eastAsia" w:ascii="宋体" w:hAnsi="宋体" w:eastAsia="宋体" w:cs="宋体"/>
          <w:color w:val="auto"/>
          <w:sz w:val="24"/>
          <w:szCs w:val="24"/>
          <w:highlight w:val="none"/>
        </w:rPr>
      </w:pPr>
    </w:p>
    <w:p w14:paraId="7B5F52C6">
      <w:pPr>
        <w:spacing w:line="360" w:lineRule="auto"/>
        <w:ind w:firstLine="480" w:firstLineChars="200"/>
        <w:outlineLvl w:val="9"/>
        <w:rPr>
          <w:rFonts w:hint="eastAsia" w:ascii="宋体" w:hAnsi="宋体" w:eastAsia="宋体" w:cs="宋体"/>
          <w:color w:val="auto"/>
          <w:sz w:val="24"/>
          <w:szCs w:val="24"/>
          <w:highlight w:val="none"/>
        </w:rPr>
      </w:pPr>
    </w:p>
    <w:p w14:paraId="638301F3">
      <w:pPr>
        <w:spacing w:line="360" w:lineRule="auto"/>
        <w:ind w:firstLine="480" w:firstLineChars="200"/>
        <w:outlineLvl w:val="9"/>
        <w:rPr>
          <w:rFonts w:hint="eastAsia" w:ascii="宋体" w:hAnsi="宋体" w:eastAsia="宋体" w:cs="宋体"/>
          <w:color w:val="auto"/>
          <w:sz w:val="24"/>
          <w:szCs w:val="24"/>
          <w:highlight w:val="none"/>
        </w:rPr>
      </w:pPr>
    </w:p>
    <w:p w14:paraId="0444C996">
      <w:pPr>
        <w:spacing w:line="360" w:lineRule="auto"/>
        <w:ind w:firstLine="480" w:firstLineChars="200"/>
        <w:outlineLvl w:val="9"/>
        <w:rPr>
          <w:rFonts w:hint="eastAsia" w:ascii="宋体" w:hAnsi="宋体" w:eastAsia="宋体" w:cs="宋体"/>
          <w:color w:val="auto"/>
          <w:sz w:val="24"/>
          <w:szCs w:val="24"/>
          <w:highlight w:val="none"/>
        </w:rPr>
      </w:pPr>
    </w:p>
    <w:p w14:paraId="0CCFA56D">
      <w:pPr>
        <w:spacing w:line="360" w:lineRule="auto"/>
        <w:ind w:firstLine="480" w:firstLineChars="200"/>
        <w:outlineLvl w:val="9"/>
        <w:rPr>
          <w:rFonts w:hint="eastAsia" w:ascii="宋体" w:hAnsi="宋体" w:eastAsia="宋体" w:cs="宋体"/>
          <w:color w:val="auto"/>
          <w:sz w:val="24"/>
          <w:szCs w:val="24"/>
          <w:highlight w:val="none"/>
        </w:rPr>
      </w:pPr>
    </w:p>
    <w:p w14:paraId="21BDE80A">
      <w:pPr>
        <w:spacing w:line="360" w:lineRule="auto"/>
        <w:ind w:firstLine="480" w:firstLineChars="200"/>
        <w:outlineLvl w:val="9"/>
        <w:rPr>
          <w:rFonts w:hint="eastAsia" w:ascii="宋体" w:hAnsi="宋体" w:eastAsia="宋体" w:cs="宋体"/>
          <w:color w:val="auto"/>
          <w:sz w:val="24"/>
          <w:szCs w:val="24"/>
          <w:highlight w:val="none"/>
        </w:rPr>
      </w:pPr>
    </w:p>
    <w:p w14:paraId="5A12C921">
      <w:pPr>
        <w:spacing w:line="360" w:lineRule="auto"/>
        <w:ind w:firstLine="480" w:firstLineChars="200"/>
        <w:outlineLvl w:val="9"/>
        <w:rPr>
          <w:rFonts w:hint="eastAsia" w:ascii="宋体" w:hAnsi="宋体" w:eastAsia="宋体" w:cs="宋体"/>
          <w:color w:val="auto"/>
          <w:sz w:val="24"/>
          <w:szCs w:val="24"/>
          <w:highlight w:val="none"/>
        </w:rPr>
      </w:pPr>
    </w:p>
    <w:p w14:paraId="61633CB7">
      <w:pPr>
        <w:spacing w:line="360" w:lineRule="auto"/>
        <w:ind w:firstLine="480" w:firstLineChars="200"/>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此页为签字页面，无正文。</w:t>
      </w:r>
    </w:p>
    <w:p w14:paraId="47E8CE09">
      <w:pPr>
        <w:spacing w:line="360" w:lineRule="auto"/>
        <w:ind w:firstLine="480" w:firstLineChars="200"/>
        <w:outlineLvl w:val="9"/>
        <w:rPr>
          <w:rFonts w:hint="eastAsia" w:ascii="宋体" w:hAnsi="宋体" w:eastAsia="宋体" w:cs="宋体"/>
          <w:color w:val="auto"/>
          <w:sz w:val="24"/>
          <w:szCs w:val="24"/>
          <w:highlight w:val="none"/>
        </w:rPr>
      </w:pPr>
    </w:p>
    <w:p w14:paraId="49C50472">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（盖章） </w:t>
      </w:r>
    </w:p>
    <w:p w14:paraId="41E27867">
      <w:pPr>
        <w:spacing w:line="360" w:lineRule="auto"/>
        <w:ind w:firstLine="480" w:firstLineChars="200"/>
        <w:outlineLvl w:val="9"/>
        <w:rPr>
          <w:rFonts w:hint="eastAsia" w:ascii="宋体" w:hAnsi="宋体" w:eastAsia="宋体" w:cs="宋体"/>
          <w:color w:val="auto"/>
          <w:sz w:val="24"/>
          <w:szCs w:val="24"/>
          <w:highlight w:val="none"/>
        </w:rPr>
      </w:pPr>
    </w:p>
    <w:p w14:paraId="06E7E6A2">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法定代表人（授权代表）：           法定代表人（授权代表）：</w:t>
      </w:r>
    </w:p>
    <w:p w14:paraId="5CB1718E">
      <w:pPr>
        <w:spacing w:line="360" w:lineRule="auto"/>
        <w:ind w:firstLine="480" w:firstLineChars="200"/>
        <w:outlineLvl w:val="9"/>
        <w:rPr>
          <w:rFonts w:hint="eastAsia" w:ascii="宋体" w:hAnsi="宋体" w:eastAsia="宋体" w:cs="宋体"/>
          <w:color w:val="auto"/>
          <w:sz w:val="24"/>
          <w:szCs w:val="24"/>
          <w:highlight w:val="none"/>
        </w:rPr>
      </w:pPr>
    </w:p>
    <w:p w14:paraId="023F26B2">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30550699">
      <w:pPr>
        <w:spacing w:line="360" w:lineRule="auto"/>
        <w:ind w:firstLine="480" w:firstLineChars="200"/>
        <w:outlineLvl w:val="9"/>
        <w:rPr>
          <w:rFonts w:hint="eastAsia" w:ascii="宋体" w:hAnsi="宋体" w:eastAsia="宋体" w:cs="宋体"/>
          <w:color w:val="auto"/>
          <w:sz w:val="24"/>
          <w:szCs w:val="24"/>
          <w:highlight w:val="none"/>
        </w:rPr>
      </w:pPr>
    </w:p>
    <w:p w14:paraId="2BE75DB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752D9D5E">
      <w:pPr>
        <w:spacing w:line="360" w:lineRule="auto"/>
        <w:ind w:firstLine="480" w:firstLineChars="200"/>
        <w:outlineLvl w:val="9"/>
        <w:rPr>
          <w:rFonts w:hint="eastAsia" w:ascii="宋体" w:hAnsi="宋体" w:eastAsia="宋体" w:cs="宋体"/>
          <w:color w:val="auto"/>
          <w:sz w:val="24"/>
          <w:szCs w:val="24"/>
          <w:highlight w:val="none"/>
        </w:rPr>
      </w:pPr>
    </w:p>
    <w:p w14:paraId="4FC0FDC3">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                             账号：</w:t>
      </w:r>
    </w:p>
    <w:p w14:paraId="73CADD4E">
      <w:pPr>
        <w:spacing w:line="360" w:lineRule="auto"/>
        <w:ind w:firstLine="480" w:firstLineChars="200"/>
        <w:outlineLvl w:val="9"/>
        <w:rPr>
          <w:rFonts w:hint="eastAsia" w:ascii="宋体" w:hAnsi="宋体" w:eastAsia="宋体" w:cs="宋体"/>
          <w:color w:val="auto"/>
          <w:sz w:val="24"/>
          <w:szCs w:val="24"/>
          <w:highlight w:val="none"/>
        </w:rPr>
      </w:pPr>
    </w:p>
    <w:p w14:paraId="0824877C">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4580B3CE">
      <w:pPr>
        <w:spacing w:line="360" w:lineRule="auto"/>
        <w:ind w:firstLine="480" w:firstLineChars="200"/>
        <w:outlineLvl w:val="9"/>
        <w:rPr>
          <w:rFonts w:hint="eastAsia" w:ascii="宋体" w:hAnsi="宋体" w:eastAsia="宋体" w:cs="宋体"/>
          <w:color w:val="auto"/>
          <w:sz w:val="24"/>
          <w:szCs w:val="24"/>
          <w:highlight w:val="none"/>
        </w:rPr>
      </w:pPr>
    </w:p>
    <w:p w14:paraId="29934876">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10EEF3EF">
      <w:pPr>
        <w:pStyle w:val="4"/>
        <w:spacing w:line="360" w:lineRule="auto"/>
        <w:jc w:val="center"/>
        <w:outlineLvl w:val="9"/>
        <w:rPr>
          <w:rFonts w:hint="eastAsia" w:ascii="宋体" w:hAnsi="宋体" w:eastAsia="宋体" w:cs="宋体"/>
          <w:color w:val="auto"/>
          <w:sz w:val="24"/>
          <w:szCs w:val="24"/>
          <w:highlight w:val="none"/>
        </w:rPr>
      </w:pPr>
    </w:p>
    <w:p w14:paraId="4E4810F9">
      <w:pPr>
        <w:pStyle w:val="4"/>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p>
    <w:p w14:paraId="690F7BB4">
      <w:pPr>
        <w:spacing w:line="360" w:lineRule="auto"/>
        <w:outlineLvl w:val="9"/>
        <w:rPr>
          <w:rFonts w:hint="eastAsia" w:ascii="宋体" w:hAnsi="宋体" w:eastAsia="宋体" w:cs="宋体"/>
          <w:bCs/>
          <w:color w:val="auto"/>
          <w:szCs w:val="44"/>
          <w:highlight w:val="none"/>
        </w:rPr>
      </w:pPr>
      <w:r>
        <w:rPr>
          <w:rFonts w:hint="eastAsia" w:ascii="宋体" w:hAnsi="宋体" w:eastAsia="宋体" w:cs="宋体"/>
          <w:b/>
          <w:color w:val="auto"/>
          <w:sz w:val="24"/>
          <w:szCs w:val="24"/>
          <w:highlight w:val="none"/>
          <w:lang w:val="en-US" w:eastAsia="zh-CN"/>
        </w:rPr>
        <w:t xml:space="preserve"> </w:t>
      </w:r>
    </w:p>
    <w:p w14:paraId="5A7EE6FA">
      <w:pPr>
        <w:pStyle w:val="9"/>
        <w:keepNext w:val="0"/>
        <w:pageBreakBefore w:val="0"/>
        <w:kinsoku/>
        <w:overflowPunct/>
        <w:bidi w:val="0"/>
        <w:ind w:firstLine="480" w:firstLineChars="200"/>
        <w:rPr>
          <w:rFonts w:hint="eastAsia"/>
          <w:color w:val="auto"/>
          <w:lang w:val="en-US" w:eastAsia="zh-Hans"/>
        </w:rPr>
      </w:pPr>
      <w:r>
        <w:rPr>
          <w:rFonts w:hint="eastAsia" w:ascii="宋体" w:hAnsi="宋体" w:eastAsia="宋体" w:cs="宋体"/>
          <w:color w:val="auto"/>
          <w:sz w:val="24"/>
          <w:szCs w:val="24"/>
          <w:highlight w:val="none"/>
        </w:rPr>
        <w:t>签订地点：</w:t>
      </w:r>
      <w:r>
        <w:rPr>
          <w:rFonts w:hint="eastAsia" w:ascii="宋体" w:hAnsi="宋体" w:eastAsia="宋体" w:cs="宋体"/>
          <w:color w:val="auto"/>
          <w:sz w:val="24"/>
          <w:szCs w:val="24"/>
          <w:highlight w:val="none"/>
          <w:u w:val="single"/>
          <w:lang w:val="en-US" w:eastAsia="zh-CN"/>
        </w:rPr>
        <w:t xml:space="preserve">                       </w:t>
      </w:r>
    </w:p>
    <w:p w14:paraId="0D24264A"/>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0C484">
    <w:pPr>
      <w:spacing w:line="173" w:lineRule="auto"/>
      <w:ind w:left="4419"/>
      <w:rPr>
        <w:rFonts w:ascii="Lucida Sans Unicode" w:hAnsi="Lucida Sans Unicode" w:eastAsia="Lucida Sans Unicode" w:cs="Lucida Sans Unicod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8DBFA">
    <w:pPr>
      <w:tabs>
        <w:tab w:val="center" w:pos="4153"/>
        <w:tab w:val="right"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500A7"/>
    <w:rsid w:val="51807475"/>
    <w:rsid w:val="68B50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jc w:val="center"/>
      <w:outlineLvl w:val="0"/>
    </w:pPr>
    <w:rPr>
      <w:sz w:val="28"/>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customStyle="1" w:styleId="7">
    <w:name w:val="HTML 预设格式1"/>
    <w:basedOn w:val="1"/>
    <w:qFormat/>
    <w:uiPriority w:val="0"/>
    <w:rPr>
      <w:rFonts w:ascii="Courier New" w:hAnsi="Courier New"/>
      <w:sz w:val="20"/>
    </w:rPr>
  </w:style>
  <w:style w:type="paragraph" w:styleId="8">
    <w:name w:val="List Paragraph"/>
    <w:basedOn w:val="1"/>
    <w:qFormat/>
    <w:uiPriority w:val="34"/>
    <w:pPr>
      <w:ind w:firstLine="420" w:firstLineChars="200"/>
    </w:pPr>
    <w:rPr>
      <w:rFonts w:ascii="Calibri" w:hAnsi="Calibri" w:eastAsia="宋体" w:cs="Times New Roman"/>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1597</Words>
  <Characters>1647</Characters>
  <Lines>0</Lines>
  <Paragraphs>0</Paragraphs>
  <TotalTime>1</TotalTime>
  <ScaleCrop>false</ScaleCrop>
  <LinksUpToDate>false</LinksUpToDate>
  <CharactersWithSpaces>2257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2025-06-09T02:17:00Z</dcterms:created>
  <dc:creator>早睡早起</dc:creator>
  <cp:lastModifiedBy>早睡早起</cp:lastModifiedBy>
  <dcterms:modified xsi:type="dcterms:W3CDTF">2025-06-11T03:07:57Z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0D2CB7CF31A8417BB3F80D91EA8DF73C_11</vt:lpwstr>
  </property>
  <property fmtid="{D5CDD505-2E9C-101B-9397-08002B2CF9AE}" pid="4" name="KSOTemplateDocerSaveRecord">
    <vt:lpwstr>eyJoZGlkIjoiMTgzZTIzNDkwZGZlNzA4ZDE2NWM2YTY0NmYxOWY3MzEiLCJ1c2VySWQiOiIxMDc5MDUxMTIzIn0=</vt:lpwstr>
  </property>
</Properties>
</file>