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D170D3">
      <w:pPr>
        <w:jc w:val="left"/>
        <w:rPr>
          <w:rFonts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政府采购合同                        合同编号：</w:t>
      </w:r>
    </w:p>
    <w:p w14:paraId="7F668915">
      <w:pPr>
        <w:pStyle w:val="2"/>
        <w:rPr>
          <w:b/>
          <w:bCs/>
          <w:color w:val="auto"/>
          <w:sz w:val="30"/>
          <w:szCs w:val="30"/>
          <w:highlight w:val="none"/>
          <w:lang w:eastAsia="zh-CN"/>
        </w:rPr>
      </w:pPr>
    </w:p>
    <w:p w14:paraId="0137571E">
      <w:pPr>
        <w:pStyle w:val="2"/>
        <w:rPr>
          <w:b/>
          <w:bCs/>
          <w:color w:val="auto"/>
          <w:sz w:val="30"/>
          <w:szCs w:val="30"/>
          <w:highlight w:val="none"/>
          <w:lang w:eastAsia="zh-CN"/>
        </w:rPr>
      </w:pPr>
    </w:p>
    <w:p w14:paraId="35450D66">
      <w:pPr>
        <w:pStyle w:val="2"/>
        <w:rPr>
          <w:color w:val="auto"/>
          <w:highlight w:val="none"/>
          <w:lang w:eastAsia="zh-CN"/>
        </w:rPr>
      </w:pPr>
    </w:p>
    <w:p w14:paraId="45555F8A">
      <w:pPr>
        <w:jc w:val="center"/>
        <w:rPr>
          <w:rFonts w:ascii="仿宋" w:hAnsi="仿宋" w:eastAsia="仿宋" w:cs="仿宋"/>
          <w:b/>
          <w:bCs/>
          <w:color w:val="auto"/>
          <w:sz w:val="44"/>
          <w:szCs w:val="44"/>
          <w:highlight w:val="none"/>
        </w:rPr>
      </w:pPr>
      <w:r>
        <w:rPr>
          <w:rFonts w:hint="eastAsia" w:ascii="仿宋" w:hAnsi="仿宋" w:eastAsia="仿宋" w:cs="仿宋"/>
          <w:b/>
          <w:bCs/>
          <w:color w:val="auto"/>
          <w:sz w:val="44"/>
          <w:szCs w:val="44"/>
          <w:highlight w:val="none"/>
          <w:u w:val="single"/>
        </w:rPr>
        <w:t xml:space="preserve">                           </w:t>
      </w:r>
      <w:r>
        <w:rPr>
          <w:rFonts w:hint="eastAsia" w:ascii="仿宋" w:hAnsi="仿宋" w:eastAsia="仿宋" w:cs="仿宋"/>
          <w:b/>
          <w:bCs/>
          <w:color w:val="auto"/>
          <w:sz w:val="44"/>
          <w:szCs w:val="44"/>
          <w:highlight w:val="none"/>
        </w:rPr>
        <w:t>采购项目</w:t>
      </w:r>
    </w:p>
    <w:p w14:paraId="185714B5">
      <w:pPr>
        <w:rPr>
          <w:rFonts w:ascii="仿宋" w:hAnsi="仿宋" w:eastAsia="仿宋" w:cs="仿宋"/>
          <w:color w:val="auto"/>
          <w:highlight w:val="none"/>
        </w:rPr>
      </w:pPr>
    </w:p>
    <w:p w14:paraId="4B827FBC">
      <w:pPr>
        <w:rPr>
          <w:rFonts w:ascii="仿宋" w:hAnsi="仿宋" w:eastAsia="仿宋" w:cs="仿宋"/>
          <w:color w:val="auto"/>
          <w:highlight w:val="none"/>
        </w:rPr>
      </w:pPr>
    </w:p>
    <w:p w14:paraId="78E8BFD6">
      <w:pPr>
        <w:pStyle w:val="2"/>
        <w:rPr>
          <w:color w:val="auto"/>
          <w:highlight w:val="none"/>
          <w:lang w:eastAsia="zh-CN"/>
        </w:rPr>
      </w:pPr>
    </w:p>
    <w:p w14:paraId="3491D6F1">
      <w:pPr>
        <w:pStyle w:val="2"/>
        <w:rPr>
          <w:color w:val="auto"/>
          <w:highlight w:val="none"/>
          <w:lang w:eastAsia="zh-CN"/>
        </w:rPr>
      </w:pPr>
    </w:p>
    <w:p w14:paraId="0002FF0C">
      <w:pPr>
        <w:rPr>
          <w:rFonts w:ascii="仿宋" w:hAnsi="仿宋" w:eastAsia="仿宋" w:cs="仿宋"/>
          <w:color w:val="auto"/>
          <w:highlight w:val="none"/>
        </w:rPr>
      </w:pPr>
    </w:p>
    <w:p w14:paraId="6DAC00C5">
      <w:pPr>
        <w:rPr>
          <w:rFonts w:ascii="仿宋" w:hAnsi="仿宋" w:eastAsia="仿宋" w:cs="仿宋"/>
          <w:color w:val="auto"/>
          <w:highlight w:val="none"/>
        </w:rPr>
      </w:pPr>
    </w:p>
    <w:p w14:paraId="3435880D">
      <w:pPr>
        <w:jc w:val="center"/>
        <w:rPr>
          <w:rFonts w:ascii="仿宋" w:hAnsi="仿宋" w:eastAsia="仿宋" w:cs="仿宋"/>
          <w:b/>
          <w:color w:val="auto"/>
          <w:sz w:val="36"/>
          <w:szCs w:val="36"/>
          <w:highlight w:val="none"/>
        </w:rPr>
      </w:pPr>
      <w:r>
        <w:rPr>
          <w:rFonts w:hint="eastAsia" w:ascii="仿宋" w:hAnsi="仿宋" w:eastAsia="仿宋" w:cs="仿宋"/>
          <w:b/>
          <w:color w:val="auto"/>
          <w:sz w:val="36"/>
          <w:szCs w:val="36"/>
          <w:highlight w:val="none"/>
        </w:rPr>
        <w:t>（示范文本仅供参考）</w:t>
      </w:r>
    </w:p>
    <w:p w14:paraId="389229F5">
      <w:pPr>
        <w:jc w:val="center"/>
        <w:rPr>
          <w:rFonts w:ascii="仿宋" w:hAnsi="仿宋" w:eastAsia="仿宋" w:cs="仿宋"/>
          <w:b/>
          <w:color w:val="auto"/>
          <w:sz w:val="36"/>
          <w:szCs w:val="36"/>
          <w:highlight w:val="none"/>
        </w:rPr>
      </w:pPr>
    </w:p>
    <w:p w14:paraId="3718EDDA">
      <w:pPr>
        <w:rPr>
          <w:rFonts w:ascii="仿宋" w:hAnsi="仿宋" w:eastAsia="仿宋" w:cs="仿宋"/>
          <w:b/>
          <w:color w:val="auto"/>
          <w:sz w:val="36"/>
          <w:szCs w:val="36"/>
          <w:highlight w:val="none"/>
        </w:rPr>
      </w:pPr>
    </w:p>
    <w:p w14:paraId="1ACEF219">
      <w:pPr>
        <w:jc w:val="center"/>
        <w:rPr>
          <w:rFonts w:ascii="仿宋" w:hAnsi="仿宋" w:eastAsia="仿宋" w:cs="仿宋"/>
          <w:b/>
          <w:color w:val="auto"/>
          <w:sz w:val="36"/>
          <w:szCs w:val="36"/>
          <w:highlight w:val="none"/>
        </w:rPr>
      </w:pPr>
    </w:p>
    <w:p w14:paraId="188D05EB">
      <w:pPr>
        <w:spacing w:before="160" w:beforeLines="50" w:line="360" w:lineRule="auto"/>
        <w:ind w:firstLine="1584" w:firstLineChars="493"/>
        <w:jc w:val="left"/>
        <w:rPr>
          <w:rFonts w:ascii="仿宋" w:hAnsi="仿宋" w:eastAsia="仿宋" w:cs="仿宋"/>
          <w:color w:val="auto"/>
          <w:sz w:val="32"/>
          <w:szCs w:val="32"/>
          <w:highlight w:val="none"/>
          <w:u w:val="single"/>
        </w:rPr>
      </w:pPr>
      <w:r>
        <w:rPr>
          <w:rFonts w:hint="eastAsia" w:ascii="仿宋" w:hAnsi="仿宋" w:eastAsia="仿宋" w:cs="仿宋"/>
          <w:b/>
          <w:bCs/>
          <w:color w:val="auto"/>
          <w:sz w:val="32"/>
          <w:szCs w:val="32"/>
          <w:highlight w:val="none"/>
        </w:rPr>
        <w:t>采购人：</w:t>
      </w:r>
      <w:r>
        <w:rPr>
          <w:rFonts w:hint="eastAsia" w:ascii="仿宋" w:hAnsi="仿宋" w:eastAsia="仿宋" w:cs="仿宋"/>
          <w:color w:val="auto"/>
          <w:sz w:val="32"/>
          <w:szCs w:val="32"/>
          <w:highlight w:val="none"/>
          <w:u w:val="single"/>
        </w:rPr>
        <w:t xml:space="preserve">                     </w:t>
      </w:r>
    </w:p>
    <w:p w14:paraId="19738596">
      <w:pPr>
        <w:spacing w:before="160" w:beforeLines="50" w:line="360" w:lineRule="auto"/>
        <w:ind w:firstLine="1584" w:firstLineChars="493"/>
        <w:jc w:val="left"/>
        <w:rPr>
          <w:rFonts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供应商：</w:t>
      </w:r>
      <w:r>
        <w:rPr>
          <w:rFonts w:hint="eastAsia" w:ascii="仿宋" w:hAnsi="仿宋" w:eastAsia="仿宋" w:cs="仿宋"/>
          <w:color w:val="auto"/>
          <w:sz w:val="32"/>
          <w:szCs w:val="32"/>
          <w:highlight w:val="none"/>
          <w:u w:val="single"/>
        </w:rPr>
        <w:t xml:space="preserve">                     </w:t>
      </w:r>
      <w:r>
        <w:rPr>
          <w:rFonts w:hint="eastAsia" w:ascii="仿宋" w:hAnsi="仿宋" w:eastAsia="仿宋" w:cs="仿宋"/>
          <w:color w:val="auto"/>
          <w:sz w:val="32"/>
          <w:szCs w:val="32"/>
          <w:highlight w:val="none"/>
        </w:rPr>
        <w:t xml:space="preserve">  </w:t>
      </w:r>
      <w:r>
        <w:rPr>
          <w:rFonts w:hint="eastAsia" w:ascii="仿宋" w:hAnsi="仿宋" w:eastAsia="仿宋" w:cs="仿宋"/>
          <w:b/>
          <w:bCs/>
          <w:color w:val="auto"/>
          <w:sz w:val="32"/>
          <w:szCs w:val="32"/>
          <w:highlight w:val="none"/>
        </w:rPr>
        <w:t xml:space="preserve">        </w:t>
      </w:r>
    </w:p>
    <w:p w14:paraId="08FACEC1">
      <w:pPr>
        <w:pStyle w:val="2"/>
        <w:jc w:val="center"/>
        <w:rPr>
          <w:color w:val="auto"/>
          <w:highlight w:val="none"/>
          <w:lang w:eastAsia="zh-CN"/>
        </w:rPr>
      </w:pPr>
      <w:r>
        <w:rPr>
          <w:rFonts w:hint="eastAsia"/>
          <w:b/>
          <w:bCs/>
          <w:color w:val="auto"/>
          <w:sz w:val="32"/>
          <w:szCs w:val="32"/>
          <w:highlight w:val="none"/>
          <w:lang w:eastAsia="zh-CN"/>
        </w:rPr>
        <w:t>二〇二五年  月</w:t>
      </w:r>
    </w:p>
    <w:p w14:paraId="5003A9CD">
      <w:pPr>
        <w:pStyle w:val="2"/>
        <w:rPr>
          <w:color w:val="auto"/>
          <w:highlight w:val="none"/>
          <w:lang w:eastAsia="zh-CN"/>
        </w:rPr>
      </w:pPr>
    </w:p>
    <w:p w14:paraId="56ECC3E9">
      <w:pPr>
        <w:pStyle w:val="2"/>
        <w:rPr>
          <w:color w:val="auto"/>
          <w:highlight w:val="none"/>
          <w:lang w:eastAsia="zh-CN"/>
        </w:rPr>
      </w:pPr>
    </w:p>
    <w:p w14:paraId="0F098C6B">
      <w:pPr>
        <w:rPr>
          <w:rFonts w:ascii="仿宋" w:hAnsi="仿宋" w:eastAsia="仿宋" w:cs="仿宋"/>
          <w:b/>
          <w:bCs/>
          <w:color w:val="auto"/>
          <w:sz w:val="32"/>
          <w:szCs w:val="40"/>
          <w:highlight w:val="none"/>
        </w:rPr>
      </w:pPr>
      <w:r>
        <w:rPr>
          <w:rFonts w:hint="eastAsia" w:ascii="仿宋" w:hAnsi="仿宋" w:eastAsia="仿宋" w:cs="仿宋"/>
          <w:b/>
          <w:bCs/>
          <w:color w:val="auto"/>
          <w:sz w:val="32"/>
          <w:szCs w:val="40"/>
          <w:highlight w:val="none"/>
        </w:rPr>
        <w:br w:type="page"/>
      </w:r>
    </w:p>
    <w:p w14:paraId="34907838">
      <w:pPr>
        <w:jc w:val="center"/>
        <w:rPr>
          <w:rFonts w:ascii="仿宋" w:hAnsi="仿宋" w:eastAsia="仿宋" w:cs="仿宋"/>
          <w:b/>
          <w:bCs/>
          <w:color w:val="auto"/>
          <w:sz w:val="32"/>
          <w:szCs w:val="40"/>
          <w:highlight w:val="none"/>
        </w:rPr>
      </w:pPr>
      <w:r>
        <w:rPr>
          <w:rFonts w:hint="eastAsia" w:ascii="仿宋" w:hAnsi="仿宋" w:eastAsia="仿宋" w:cs="仿宋"/>
          <w:b/>
          <w:bCs/>
          <w:color w:val="auto"/>
          <w:sz w:val="32"/>
          <w:szCs w:val="40"/>
          <w:highlight w:val="none"/>
        </w:rPr>
        <w:t>合同主要条款</w:t>
      </w:r>
    </w:p>
    <w:p w14:paraId="51B2D974">
      <w:pPr>
        <w:adjustRightInd w:val="0"/>
        <w:snapToGrid w:val="0"/>
        <w:spacing w:line="360" w:lineRule="auto"/>
        <w:ind w:firstLine="422" w:firstLineChars="200"/>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甲方：陕西省交通医院</w:t>
      </w:r>
    </w:p>
    <w:p w14:paraId="554D1CF8">
      <w:pPr>
        <w:adjustRightInd w:val="0"/>
        <w:snapToGrid w:val="0"/>
        <w:spacing w:line="360" w:lineRule="auto"/>
        <w:ind w:firstLine="422" w:firstLineChars="200"/>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住所地：西安市大学南路276号</w:t>
      </w:r>
    </w:p>
    <w:p w14:paraId="0A5D2A2B">
      <w:pPr>
        <w:adjustRightInd w:val="0"/>
        <w:snapToGrid w:val="0"/>
        <w:spacing w:line="360" w:lineRule="auto"/>
        <w:ind w:firstLine="422" w:firstLineChars="200"/>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法定代表人：杜建革</w:t>
      </w:r>
    </w:p>
    <w:p w14:paraId="33275F75">
      <w:pPr>
        <w:adjustRightInd w:val="0"/>
        <w:snapToGrid w:val="0"/>
        <w:spacing w:line="360" w:lineRule="auto"/>
        <w:ind w:firstLine="422" w:firstLineChars="200"/>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乙方：</w:t>
      </w:r>
      <w:r>
        <w:rPr>
          <w:rFonts w:hint="eastAsia" w:ascii="仿宋" w:hAnsi="仿宋" w:eastAsia="仿宋" w:cs="仿宋"/>
          <w:b/>
          <w:bCs/>
          <w:color w:val="auto"/>
          <w:sz w:val="21"/>
          <w:szCs w:val="21"/>
          <w:highlight w:val="none"/>
          <w:lang w:val="en-US" w:eastAsia="zh-CN"/>
        </w:rPr>
        <w:t xml:space="preserve">                               </w:t>
      </w:r>
    </w:p>
    <w:p w14:paraId="0885C8F3">
      <w:pPr>
        <w:adjustRightInd w:val="0"/>
        <w:snapToGrid w:val="0"/>
        <w:spacing w:line="360" w:lineRule="auto"/>
        <w:ind w:firstLine="422" w:firstLineChars="200"/>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rPr>
        <w:t>住所地：</w:t>
      </w:r>
      <w:r>
        <w:rPr>
          <w:rFonts w:hint="eastAsia" w:ascii="仿宋" w:hAnsi="仿宋" w:eastAsia="仿宋" w:cs="仿宋"/>
          <w:b/>
          <w:bCs/>
          <w:color w:val="auto"/>
          <w:sz w:val="21"/>
          <w:szCs w:val="21"/>
          <w:highlight w:val="none"/>
          <w:lang w:val="en-US" w:eastAsia="zh-CN"/>
        </w:rPr>
        <w:t xml:space="preserve">                             </w:t>
      </w:r>
    </w:p>
    <w:p w14:paraId="0F7AC3A9">
      <w:pPr>
        <w:adjustRightInd w:val="0"/>
        <w:snapToGrid w:val="0"/>
        <w:spacing w:line="360" w:lineRule="auto"/>
        <w:ind w:firstLine="422" w:firstLineChars="200"/>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rPr>
        <w:t>法定代表人：</w:t>
      </w:r>
      <w:r>
        <w:rPr>
          <w:rFonts w:hint="eastAsia" w:ascii="仿宋" w:hAnsi="仿宋" w:eastAsia="仿宋" w:cs="仿宋"/>
          <w:b/>
          <w:bCs/>
          <w:color w:val="auto"/>
          <w:sz w:val="21"/>
          <w:szCs w:val="21"/>
          <w:highlight w:val="none"/>
          <w:lang w:val="en-US" w:eastAsia="zh-CN"/>
        </w:rPr>
        <w:t xml:space="preserve">                         </w:t>
      </w:r>
    </w:p>
    <w:p w14:paraId="73B0D267">
      <w:pPr>
        <w:tabs>
          <w:tab w:val="left" w:pos="900"/>
        </w:tabs>
        <w:spacing w:line="336"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为了保证甲方中联医院信息系统稳定、可靠的运行,并能及时解决系统运行中可能出现的故障，甲乙双方依据国家有关法律规定，经过平等协商，就甲方中联医院信息系统维护达成如下协议。</w:t>
      </w:r>
    </w:p>
    <w:p w14:paraId="6184B978">
      <w:pPr>
        <w:spacing w:line="336" w:lineRule="auto"/>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第一条  售后服务内容</w:t>
      </w:r>
    </w:p>
    <w:p w14:paraId="3BCC1AC5">
      <w:pPr>
        <w:spacing w:line="336" w:lineRule="auto"/>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1.乙方负责甲方在用的、由乙方提供的中联医院信息系统（详见附件：中联医院信息系统维护范围清单，以下简称：已有软件系统）的维护工作， 具体服务内容如下：</w:t>
      </w:r>
    </w:p>
    <w:tbl>
      <w:tblPr>
        <w:tblStyle w:val="9"/>
        <w:tblW w:w="9612" w:type="dxa"/>
        <w:tblInd w:w="-5" w:type="dxa"/>
        <w:tblLayout w:type="fixed"/>
        <w:tblCellMar>
          <w:top w:w="0" w:type="dxa"/>
          <w:left w:w="108" w:type="dxa"/>
          <w:bottom w:w="0" w:type="dxa"/>
          <w:right w:w="108" w:type="dxa"/>
        </w:tblCellMar>
      </w:tblPr>
      <w:tblGrid>
        <w:gridCol w:w="748"/>
        <w:gridCol w:w="1775"/>
        <w:gridCol w:w="4565"/>
        <w:gridCol w:w="1262"/>
        <w:gridCol w:w="1262"/>
      </w:tblGrid>
      <w:tr w14:paraId="7A90DEC1">
        <w:tblPrEx>
          <w:tblCellMar>
            <w:top w:w="0" w:type="dxa"/>
            <w:left w:w="108" w:type="dxa"/>
            <w:bottom w:w="0" w:type="dxa"/>
            <w:right w:w="108" w:type="dxa"/>
          </w:tblCellMar>
        </w:tblPrEx>
        <w:trPr>
          <w:trHeight w:val="272" w:hRule="atLeast"/>
        </w:trPr>
        <w:tc>
          <w:tcPr>
            <w:tcW w:w="748" w:type="dxa"/>
            <w:tcBorders>
              <w:top w:val="single" w:color="auto" w:sz="4" w:space="0"/>
              <w:left w:val="single" w:color="auto" w:sz="4" w:space="0"/>
              <w:bottom w:val="single" w:color="auto" w:sz="4" w:space="0"/>
              <w:right w:val="single" w:color="auto" w:sz="4" w:space="0"/>
            </w:tcBorders>
            <w:noWrap/>
            <w:vAlign w:val="center"/>
          </w:tcPr>
          <w:p w14:paraId="202BB9CE">
            <w:pPr>
              <w:spacing w:line="360" w:lineRule="auto"/>
              <w:jc w:val="center"/>
              <w:rPr>
                <w:rFonts w:ascii="仿宋" w:hAnsi="仿宋" w:eastAsia="仿宋" w:cs="仿宋"/>
                <w:b/>
                <w:color w:val="auto"/>
                <w:kern w:val="0"/>
                <w:sz w:val="21"/>
                <w:szCs w:val="21"/>
                <w:highlight w:val="none"/>
              </w:rPr>
            </w:pPr>
            <w:r>
              <w:rPr>
                <w:rFonts w:hint="eastAsia" w:ascii="仿宋" w:hAnsi="仿宋" w:eastAsia="仿宋" w:cs="仿宋"/>
                <w:b/>
                <w:color w:val="auto"/>
                <w:kern w:val="0"/>
                <w:sz w:val="21"/>
                <w:szCs w:val="21"/>
                <w:highlight w:val="none"/>
              </w:rPr>
              <w:t>序号</w:t>
            </w:r>
          </w:p>
        </w:tc>
        <w:tc>
          <w:tcPr>
            <w:tcW w:w="1775" w:type="dxa"/>
            <w:tcBorders>
              <w:top w:val="single" w:color="auto" w:sz="4" w:space="0"/>
              <w:left w:val="nil"/>
              <w:bottom w:val="single" w:color="auto" w:sz="4" w:space="0"/>
              <w:right w:val="single" w:color="auto" w:sz="4" w:space="0"/>
            </w:tcBorders>
            <w:noWrap/>
            <w:vAlign w:val="center"/>
          </w:tcPr>
          <w:p w14:paraId="4883DD31">
            <w:pPr>
              <w:spacing w:line="360" w:lineRule="auto"/>
              <w:jc w:val="center"/>
              <w:rPr>
                <w:rFonts w:ascii="仿宋" w:hAnsi="仿宋" w:eastAsia="仿宋" w:cs="仿宋"/>
                <w:b/>
                <w:color w:val="auto"/>
                <w:kern w:val="0"/>
                <w:sz w:val="21"/>
                <w:szCs w:val="21"/>
                <w:highlight w:val="none"/>
              </w:rPr>
            </w:pPr>
            <w:r>
              <w:rPr>
                <w:rFonts w:hint="eastAsia" w:ascii="仿宋" w:hAnsi="仿宋" w:eastAsia="仿宋" w:cs="仿宋"/>
                <w:b/>
                <w:color w:val="auto"/>
                <w:kern w:val="0"/>
                <w:sz w:val="21"/>
                <w:szCs w:val="21"/>
                <w:highlight w:val="none"/>
              </w:rPr>
              <w:t>服务项目</w:t>
            </w:r>
          </w:p>
        </w:tc>
        <w:tc>
          <w:tcPr>
            <w:tcW w:w="4565" w:type="dxa"/>
            <w:tcBorders>
              <w:top w:val="single" w:color="auto" w:sz="4" w:space="0"/>
              <w:left w:val="nil"/>
              <w:bottom w:val="single" w:color="auto" w:sz="4" w:space="0"/>
              <w:right w:val="single" w:color="auto" w:sz="4" w:space="0"/>
            </w:tcBorders>
            <w:noWrap/>
            <w:vAlign w:val="center"/>
          </w:tcPr>
          <w:p w14:paraId="05C973FA">
            <w:pPr>
              <w:spacing w:line="360" w:lineRule="auto"/>
              <w:jc w:val="center"/>
              <w:rPr>
                <w:rFonts w:hint="eastAsia" w:ascii="仿宋" w:hAnsi="仿宋" w:eastAsia="仿宋" w:cs="仿宋"/>
                <w:b/>
                <w:color w:val="auto"/>
                <w:kern w:val="0"/>
                <w:sz w:val="21"/>
                <w:szCs w:val="21"/>
                <w:highlight w:val="none"/>
                <w:lang w:eastAsia="zh-CN"/>
              </w:rPr>
            </w:pPr>
            <w:r>
              <w:rPr>
                <w:rFonts w:hint="eastAsia" w:ascii="仿宋" w:hAnsi="仿宋" w:eastAsia="仿宋" w:cs="仿宋"/>
                <w:b/>
                <w:color w:val="auto"/>
                <w:kern w:val="0"/>
                <w:sz w:val="21"/>
                <w:szCs w:val="21"/>
                <w:highlight w:val="none"/>
              </w:rPr>
              <w:t>服务内</w:t>
            </w:r>
            <w:r>
              <w:rPr>
                <w:rFonts w:hint="eastAsia" w:ascii="仿宋" w:hAnsi="仿宋" w:eastAsia="仿宋" w:cs="仿宋"/>
                <w:b/>
                <w:color w:val="auto"/>
                <w:kern w:val="0"/>
                <w:sz w:val="21"/>
                <w:szCs w:val="21"/>
                <w:highlight w:val="none"/>
                <w:lang w:val="en-US" w:eastAsia="zh-CN"/>
              </w:rPr>
              <w:t>容</w:t>
            </w:r>
          </w:p>
        </w:tc>
        <w:tc>
          <w:tcPr>
            <w:tcW w:w="1262" w:type="dxa"/>
            <w:tcBorders>
              <w:top w:val="single" w:color="auto" w:sz="4" w:space="0"/>
              <w:left w:val="nil"/>
              <w:bottom w:val="single" w:color="auto" w:sz="4" w:space="0"/>
              <w:right w:val="single" w:color="auto" w:sz="4" w:space="0"/>
            </w:tcBorders>
            <w:noWrap/>
            <w:vAlign w:val="center"/>
          </w:tcPr>
          <w:p w14:paraId="1C72E2C3">
            <w:pPr>
              <w:spacing w:line="360" w:lineRule="auto"/>
              <w:jc w:val="center"/>
              <w:rPr>
                <w:rFonts w:ascii="仿宋" w:hAnsi="仿宋" w:eastAsia="仿宋" w:cs="仿宋"/>
                <w:b/>
                <w:color w:val="auto"/>
                <w:kern w:val="0"/>
                <w:sz w:val="21"/>
                <w:szCs w:val="21"/>
                <w:highlight w:val="none"/>
              </w:rPr>
            </w:pPr>
            <w:r>
              <w:rPr>
                <w:rFonts w:hint="eastAsia" w:ascii="仿宋" w:hAnsi="仿宋" w:eastAsia="仿宋" w:cs="仿宋"/>
                <w:b/>
                <w:color w:val="auto"/>
                <w:kern w:val="0"/>
                <w:sz w:val="21"/>
                <w:szCs w:val="21"/>
                <w:highlight w:val="none"/>
              </w:rPr>
              <w:t>服务方式</w:t>
            </w:r>
          </w:p>
        </w:tc>
        <w:tc>
          <w:tcPr>
            <w:tcW w:w="1262" w:type="dxa"/>
            <w:tcBorders>
              <w:top w:val="single" w:color="auto" w:sz="4" w:space="0"/>
              <w:left w:val="nil"/>
              <w:bottom w:val="single" w:color="auto" w:sz="4" w:space="0"/>
              <w:right w:val="single" w:color="auto" w:sz="4" w:space="0"/>
            </w:tcBorders>
            <w:vAlign w:val="center"/>
          </w:tcPr>
          <w:p w14:paraId="7E721B5E">
            <w:pPr>
              <w:spacing w:line="360" w:lineRule="auto"/>
              <w:jc w:val="center"/>
              <w:rPr>
                <w:rFonts w:ascii="仿宋" w:hAnsi="仿宋" w:eastAsia="仿宋" w:cs="仿宋"/>
                <w:b/>
                <w:color w:val="auto"/>
                <w:kern w:val="0"/>
                <w:sz w:val="21"/>
                <w:szCs w:val="21"/>
                <w:highlight w:val="none"/>
              </w:rPr>
            </w:pPr>
            <w:r>
              <w:rPr>
                <w:rFonts w:hint="eastAsia" w:ascii="仿宋" w:hAnsi="仿宋" w:eastAsia="仿宋" w:cs="仿宋"/>
                <w:b/>
                <w:color w:val="auto"/>
                <w:kern w:val="0"/>
                <w:sz w:val="21"/>
                <w:szCs w:val="21"/>
                <w:highlight w:val="none"/>
              </w:rPr>
              <w:t>服务次数</w:t>
            </w:r>
          </w:p>
        </w:tc>
      </w:tr>
      <w:tr w14:paraId="75ED4F8A">
        <w:tblPrEx>
          <w:tblCellMar>
            <w:top w:w="0" w:type="dxa"/>
            <w:left w:w="108" w:type="dxa"/>
            <w:bottom w:w="0" w:type="dxa"/>
            <w:right w:w="108" w:type="dxa"/>
          </w:tblCellMar>
        </w:tblPrEx>
        <w:trPr>
          <w:trHeight w:val="272" w:hRule="atLeast"/>
        </w:trPr>
        <w:tc>
          <w:tcPr>
            <w:tcW w:w="748" w:type="dxa"/>
            <w:tcBorders>
              <w:top w:val="single" w:color="auto" w:sz="4" w:space="0"/>
              <w:left w:val="single" w:color="auto" w:sz="4" w:space="0"/>
              <w:bottom w:val="single" w:color="auto" w:sz="4" w:space="0"/>
              <w:right w:val="single" w:color="auto" w:sz="4" w:space="0"/>
            </w:tcBorders>
            <w:noWrap/>
            <w:vAlign w:val="center"/>
          </w:tcPr>
          <w:p w14:paraId="22BE8AD3">
            <w:pPr>
              <w:snapToGrid w:val="0"/>
              <w:spacing w:line="360" w:lineRule="auto"/>
              <w:jc w:val="center"/>
              <w:rPr>
                <w:rFonts w:hint="eastAsia" w:ascii="仿宋" w:hAnsi="仿宋" w:eastAsia="仿宋" w:cs="仿宋"/>
                <w:color w:val="auto"/>
                <w:kern w:val="0"/>
                <w:szCs w:val="21"/>
                <w:highlight w:val="none"/>
              </w:rPr>
            </w:pPr>
            <w:r>
              <w:rPr>
                <w:rFonts w:hint="eastAsia" w:ascii="仿宋" w:hAnsi="仿宋" w:eastAsia="仿宋" w:cs="仿宋"/>
                <w:color w:val="auto"/>
                <w:kern w:val="0"/>
                <w:sz w:val="21"/>
                <w:szCs w:val="21"/>
                <w:highlight w:val="none"/>
              </w:rPr>
              <w:t>1</w:t>
            </w:r>
          </w:p>
        </w:tc>
        <w:tc>
          <w:tcPr>
            <w:tcW w:w="1775" w:type="dxa"/>
            <w:tcBorders>
              <w:top w:val="single" w:color="auto" w:sz="4" w:space="0"/>
              <w:left w:val="nil"/>
              <w:bottom w:val="single" w:color="auto" w:sz="4" w:space="0"/>
              <w:right w:val="single" w:color="auto" w:sz="4" w:space="0"/>
            </w:tcBorders>
            <w:noWrap/>
            <w:vAlign w:val="center"/>
          </w:tcPr>
          <w:p w14:paraId="61419B2E">
            <w:pPr>
              <w:snapToGrid w:val="0"/>
              <w:spacing w:line="360" w:lineRule="auto"/>
              <w:jc w:val="center"/>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中联信息系统</w:t>
            </w:r>
          </w:p>
          <w:p w14:paraId="7B6BBE46">
            <w:pPr>
              <w:snapToGrid w:val="0"/>
              <w:spacing w:line="360" w:lineRule="auto"/>
              <w:jc w:val="center"/>
              <w:rPr>
                <w:rFonts w:hint="eastAsia" w:ascii="仿宋" w:hAnsi="仿宋" w:eastAsia="仿宋" w:cs="仿宋"/>
                <w:color w:val="auto"/>
                <w:kern w:val="0"/>
                <w:szCs w:val="21"/>
                <w:highlight w:val="none"/>
              </w:rPr>
            </w:pPr>
            <w:r>
              <w:rPr>
                <w:rFonts w:hint="eastAsia" w:ascii="仿宋" w:hAnsi="仿宋" w:eastAsia="仿宋" w:cs="仿宋"/>
                <w:color w:val="auto"/>
                <w:kern w:val="0"/>
                <w:sz w:val="21"/>
                <w:szCs w:val="21"/>
                <w:highlight w:val="none"/>
              </w:rPr>
              <w:t>运维服务</w:t>
            </w:r>
          </w:p>
        </w:tc>
        <w:tc>
          <w:tcPr>
            <w:tcW w:w="4565" w:type="dxa"/>
            <w:tcBorders>
              <w:top w:val="single" w:color="auto" w:sz="4" w:space="0"/>
              <w:left w:val="nil"/>
              <w:bottom w:val="single" w:color="auto" w:sz="4" w:space="0"/>
              <w:right w:val="single" w:color="auto" w:sz="4" w:space="0"/>
            </w:tcBorders>
            <w:noWrap/>
            <w:vAlign w:val="center"/>
          </w:tcPr>
          <w:p w14:paraId="45C31863">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1、《陕西省交通医院中联医院信息系统汇总表》中信息系统的软件操作、排错技术操作指导管理；</w:t>
            </w:r>
          </w:p>
          <w:p w14:paraId="06159635">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2、由于软件产品故障导致的死机、数据错误；</w:t>
            </w:r>
          </w:p>
          <w:p w14:paraId="64C4326D">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3、针对具体业务应用进行软件的配置管理；</w:t>
            </w:r>
          </w:p>
          <w:p w14:paraId="40292198">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4、由于环境原因导致的系统显示错误、数据错误、运行效率降低等问题；</w:t>
            </w:r>
          </w:p>
          <w:p w14:paraId="2FF8F909">
            <w:pPr>
              <w:snapToGrid w:val="0"/>
              <w:spacing w:line="360" w:lineRule="auto"/>
              <w:rPr>
                <w:rFonts w:hint="eastAsia" w:ascii="仿宋" w:hAnsi="仿宋" w:eastAsia="仿宋" w:cs="仿宋"/>
                <w:color w:val="auto"/>
                <w:kern w:val="0"/>
                <w:szCs w:val="21"/>
                <w:highlight w:val="none"/>
              </w:rPr>
            </w:pPr>
            <w:r>
              <w:rPr>
                <w:rFonts w:hint="eastAsia" w:ascii="仿宋" w:hAnsi="仿宋" w:eastAsia="仿宋" w:cs="仿宋"/>
                <w:color w:val="auto"/>
                <w:kern w:val="0"/>
                <w:sz w:val="21"/>
                <w:szCs w:val="21"/>
                <w:highlight w:val="none"/>
              </w:rPr>
              <w:t xml:space="preserve">5、对软件的硬件环境进行检查。 </w:t>
            </w:r>
          </w:p>
        </w:tc>
        <w:tc>
          <w:tcPr>
            <w:tcW w:w="1262" w:type="dxa"/>
            <w:tcBorders>
              <w:top w:val="single" w:color="auto" w:sz="4" w:space="0"/>
              <w:left w:val="nil"/>
              <w:bottom w:val="single" w:color="auto" w:sz="4" w:space="0"/>
              <w:right w:val="single" w:color="auto" w:sz="4" w:space="0"/>
            </w:tcBorders>
            <w:noWrap/>
            <w:vAlign w:val="center"/>
          </w:tcPr>
          <w:p w14:paraId="06483449">
            <w:pPr>
              <w:adjustRightInd w:val="0"/>
              <w:snapToGrid w:val="0"/>
              <w:spacing w:line="360" w:lineRule="auto"/>
              <w:jc w:val="left"/>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电话服务</w:t>
            </w:r>
          </w:p>
          <w:p w14:paraId="587DB755">
            <w:pPr>
              <w:pStyle w:val="2"/>
              <w:adjustRightInd w:val="0"/>
              <w:snapToGrid w:val="0"/>
              <w:spacing w:line="360" w:lineRule="auto"/>
              <w:jc w:val="left"/>
              <w:rPr>
                <w:color w:val="auto"/>
                <w:kern w:val="0"/>
                <w:sz w:val="21"/>
                <w:szCs w:val="21"/>
                <w:highlight w:val="none"/>
                <w:lang w:eastAsia="zh-CN"/>
              </w:rPr>
            </w:pPr>
            <w:r>
              <w:rPr>
                <w:rFonts w:hint="eastAsia"/>
                <w:color w:val="auto"/>
                <w:kern w:val="0"/>
                <w:sz w:val="21"/>
                <w:szCs w:val="21"/>
                <w:highlight w:val="none"/>
                <w:lang w:eastAsia="zh-CN"/>
              </w:rPr>
              <w:t>远程服务</w:t>
            </w:r>
          </w:p>
          <w:p w14:paraId="7EDDEB51">
            <w:pPr>
              <w:adjustRightInd w:val="0"/>
              <w:snapToGrid w:val="0"/>
              <w:spacing w:line="360" w:lineRule="auto"/>
              <w:jc w:val="left"/>
              <w:rPr>
                <w:rFonts w:hint="eastAsia" w:ascii="仿宋" w:hAnsi="仿宋" w:eastAsia="仿宋" w:cs="仿宋"/>
                <w:color w:val="auto"/>
                <w:kern w:val="0"/>
                <w:sz w:val="21"/>
                <w:szCs w:val="21"/>
                <w:highlight w:val="none"/>
                <w:lang w:eastAsia="zh-CN"/>
              </w:rPr>
            </w:pPr>
            <w:r>
              <w:rPr>
                <w:rFonts w:hint="eastAsia" w:ascii="仿宋" w:hAnsi="仿宋" w:eastAsia="仿宋" w:cs="仿宋"/>
                <w:color w:val="auto"/>
                <w:kern w:val="0"/>
                <w:sz w:val="21"/>
                <w:szCs w:val="21"/>
                <w:highlight w:val="none"/>
              </w:rPr>
              <w:t>现场服务</w:t>
            </w:r>
          </w:p>
        </w:tc>
        <w:tc>
          <w:tcPr>
            <w:tcW w:w="1262" w:type="dxa"/>
            <w:tcBorders>
              <w:top w:val="single" w:color="auto" w:sz="4" w:space="0"/>
              <w:left w:val="nil"/>
              <w:bottom w:val="single" w:color="auto" w:sz="4" w:space="0"/>
              <w:right w:val="single" w:color="auto" w:sz="4" w:space="0"/>
            </w:tcBorders>
            <w:vAlign w:val="center"/>
          </w:tcPr>
          <w:p w14:paraId="229980C2">
            <w:pPr>
              <w:adjustRightInd w:val="0"/>
              <w:snapToGrid w:val="0"/>
              <w:spacing w:line="360" w:lineRule="auto"/>
              <w:jc w:val="center"/>
              <w:rPr>
                <w:rFonts w:hint="eastAsia" w:ascii="仿宋" w:hAnsi="仿宋" w:eastAsia="仿宋" w:cs="仿宋"/>
                <w:color w:val="auto"/>
                <w:kern w:val="0"/>
                <w:szCs w:val="21"/>
                <w:highlight w:val="none"/>
              </w:rPr>
            </w:pPr>
            <w:r>
              <w:rPr>
                <w:rFonts w:hint="eastAsia" w:ascii="仿宋" w:hAnsi="仿宋" w:eastAsia="仿宋" w:cs="仿宋"/>
                <w:color w:val="auto"/>
                <w:kern w:val="0"/>
                <w:sz w:val="21"/>
                <w:szCs w:val="21"/>
                <w:highlight w:val="none"/>
              </w:rPr>
              <w:t>不限</w:t>
            </w:r>
          </w:p>
        </w:tc>
      </w:tr>
      <w:tr w14:paraId="22D58355">
        <w:tblPrEx>
          <w:tblCellMar>
            <w:top w:w="0" w:type="dxa"/>
            <w:left w:w="108" w:type="dxa"/>
            <w:bottom w:w="0" w:type="dxa"/>
            <w:right w:w="108" w:type="dxa"/>
          </w:tblCellMar>
        </w:tblPrEx>
        <w:trPr>
          <w:trHeight w:val="272" w:hRule="atLeast"/>
        </w:trPr>
        <w:tc>
          <w:tcPr>
            <w:tcW w:w="748" w:type="dxa"/>
            <w:tcBorders>
              <w:top w:val="single" w:color="auto" w:sz="4" w:space="0"/>
              <w:left w:val="single" w:color="auto" w:sz="4" w:space="0"/>
              <w:bottom w:val="single" w:color="auto" w:sz="4" w:space="0"/>
              <w:right w:val="single" w:color="auto" w:sz="4" w:space="0"/>
            </w:tcBorders>
            <w:noWrap/>
            <w:vAlign w:val="center"/>
          </w:tcPr>
          <w:p w14:paraId="2C1162C3">
            <w:pPr>
              <w:snapToGrid w:val="0"/>
              <w:spacing w:line="360" w:lineRule="auto"/>
              <w:jc w:val="center"/>
              <w:rPr>
                <w:rFonts w:hint="eastAsia" w:ascii="仿宋" w:hAnsi="仿宋" w:eastAsia="仿宋" w:cs="仿宋"/>
                <w:color w:val="auto"/>
                <w:kern w:val="0"/>
                <w:szCs w:val="21"/>
                <w:highlight w:val="none"/>
              </w:rPr>
            </w:pPr>
            <w:r>
              <w:rPr>
                <w:rFonts w:hint="eastAsia" w:ascii="仿宋" w:hAnsi="仿宋" w:eastAsia="仿宋" w:cs="仿宋"/>
                <w:color w:val="auto"/>
                <w:kern w:val="0"/>
                <w:sz w:val="21"/>
                <w:szCs w:val="21"/>
                <w:highlight w:val="none"/>
              </w:rPr>
              <w:t>2</w:t>
            </w:r>
          </w:p>
        </w:tc>
        <w:tc>
          <w:tcPr>
            <w:tcW w:w="1775" w:type="dxa"/>
            <w:tcBorders>
              <w:top w:val="single" w:color="auto" w:sz="4" w:space="0"/>
              <w:left w:val="nil"/>
              <w:bottom w:val="single" w:color="auto" w:sz="4" w:space="0"/>
              <w:right w:val="single" w:color="auto" w:sz="4" w:space="0"/>
            </w:tcBorders>
            <w:noWrap/>
            <w:vAlign w:val="center"/>
          </w:tcPr>
          <w:p w14:paraId="7B019C5D">
            <w:pPr>
              <w:snapToGrid w:val="0"/>
              <w:spacing w:line="360" w:lineRule="auto"/>
              <w:jc w:val="center"/>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数据库</w:t>
            </w:r>
          </w:p>
          <w:p w14:paraId="40C01310">
            <w:pPr>
              <w:snapToGrid w:val="0"/>
              <w:spacing w:line="360" w:lineRule="auto"/>
              <w:jc w:val="center"/>
              <w:rPr>
                <w:rFonts w:hint="eastAsia" w:ascii="仿宋" w:hAnsi="仿宋" w:eastAsia="仿宋" w:cs="仿宋"/>
                <w:color w:val="auto"/>
                <w:kern w:val="0"/>
                <w:szCs w:val="21"/>
                <w:highlight w:val="none"/>
              </w:rPr>
            </w:pPr>
            <w:r>
              <w:rPr>
                <w:rFonts w:hint="eastAsia" w:ascii="仿宋" w:hAnsi="仿宋" w:eastAsia="仿宋" w:cs="仿宋"/>
                <w:color w:val="auto"/>
                <w:kern w:val="0"/>
                <w:sz w:val="21"/>
                <w:szCs w:val="21"/>
                <w:highlight w:val="none"/>
              </w:rPr>
              <w:t>运维服务</w:t>
            </w:r>
          </w:p>
        </w:tc>
        <w:tc>
          <w:tcPr>
            <w:tcW w:w="4565" w:type="dxa"/>
            <w:tcBorders>
              <w:top w:val="single" w:color="auto" w:sz="4" w:space="0"/>
              <w:left w:val="nil"/>
              <w:bottom w:val="single" w:color="auto" w:sz="4" w:space="0"/>
              <w:right w:val="single" w:color="auto" w:sz="4" w:space="0"/>
            </w:tcBorders>
            <w:noWrap/>
            <w:vAlign w:val="center"/>
          </w:tcPr>
          <w:p w14:paraId="4A5ECA27">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1、定期检查服务器及数据库的日志是否异常，及时发现存在或隐含的问题；</w:t>
            </w:r>
          </w:p>
          <w:p w14:paraId="7718D5C8">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2、定期对服务器及数据库进行检查，检查的内容包括服务器的系统日志、磁盘空间、数据库的日志，表空间、数据文件大小的检查、数据库异常操作的检查；</w:t>
            </w:r>
          </w:p>
          <w:p w14:paraId="18F0B910">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3、定期对数据库进行更新，确保数据库无高危漏洞；</w:t>
            </w:r>
          </w:p>
          <w:p w14:paraId="7E34CC33">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4、提供同版本的数据库迁移服务；</w:t>
            </w:r>
          </w:p>
          <w:p w14:paraId="4DBA2050">
            <w:pPr>
              <w:snapToGrid w:val="0"/>
              <w:spacing w:line="360" w:lineRule="auto"/>
              <w:rPr>
                <w:rFonts w:hint="eastAsia" w:ascii="仿宋" w:hAnsi="仿宋" w:eastAsia="仿宋" w:cs="仿宋"/>
                <w:color w:val="auto"/>
                <w:kern w:val="0"/>
                <w:szCs w:val="21"/>
                <w:highlight w:val="none"/>
              </w:rPr>
            </w:pPr>
            <w:r>
              <w:rPr>
                <w:rFonts w:hint="eastAsia" w:ascii="仿宋" w:hAnsi="仿宋" w:eastAsia="仿宋" w:cs="仿宋"/>
                <w:color w:val="auto"/>
                <w:kern w:val="0"/>
                <w:sz w:val="21"/>
                <w:szCs w:val="21"/>
                <w:highlight w:val="none"/>
              </w:rPr>
              <w:t>5、针对日志和检查中发现的问题，进行处理及数据库优化，以使服务器和数据库都保持最佳的性能。</w:t>
            </w:r>
          </w:p>
        </w:tc>
        <w:tc>
          <w:tcPr>
            <w:tcW w:w="1262" w:type="dxa"/>
            <w:tcBorders>
              <w:top w:val="single" w:color="auto" w:sz="4" w:space="0"/>
              <w:left w:val="nil"/>
              <w:bottom w:val="single" w:color="auto" w:sz="4" w:space="0"/>
              <w:right w:val="single" w:color="auto" w:sz="4" w:space="0"/>
            </w:tcBorders>
            <w:noWrap/>
            <w:vAlign w:val="center"/>
          </w:tcPr>
          <w:p w14:paraId="6451B9E9">
            <w:pPr>
              <w:adjustRightInd w:val="0"/>
              <w:snapToGrid w:val="0"/>
              <w:spacing w:line="360" w:lineRule="auto"/>
              <w:jc w:val="center"/>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电话服务</w:t>
            </w:r>
          </w:p>
          <w:p w14:paraId="5C5B23AD">
            <w:pPr>
              <w:pStyle w:val="2"/>
              <w:adjustRightInd w:val="0"/>
              <w:snapToGrid w:val="0"/>
              <w:spacing w:line="360" w:lineRule="auto"/>
              <w:jc w:val="center"/>
              <w:rPr>
                <w:color w:val="auto"/>
                <w:kern w:val="0"/>
                <w:sz w:val="21"/>
                <w:szCs w:val="21"/>
                <w:highlight w:val="none"/>
                <w:lang w:eastAsia="zh-CN"/>
              </w:rPr>
            </w:pPr>
            <w:r>
              <w:rPr>
                <w:rFonts w:hint="eastAsia"/>
                <w:color w:val="auto"/>
                <w:kern w:val="0"/>
                <w:sz w:val="21"/>
                <w:szCs w:val="21"/>
                <w:highlight w:val="none"/>
                <w:lang w:eastAsia="zh-CN"/>
              </w:rPr>
              <w:t>远程服务</w:t>
            </w:r>
          </w:p>
          <w:p w14:paraId="59443B93">
            <w:pPr>
              <w:adjustRightInd w:val="0"/>
              <w:snapToGrid w:val="0"/>
              <w:spacing w:line="360" w:lineRule="auto"/>
              <w:jc w:val="center"/>
              <w:rPr>
                <w:rFonts w:hint="eastAsia" w:ascii="仿宋" w:hAnsi="仿宋" w:eastAsia="仿宋" w:cs="仿宋"/>
                <w:color w:val="auto"/>
                <w:kern w:val="0"/>
                <w:sz w:val="21"/>
                <w:szCs w:val="21"/>
                <w:highlight w:val="none"/>
                <w:lang w:eastAsia="zh-CN"/>
              </w:rPr>
            </w:pPr>
            <w:r>
              <w:rPr>
                <w:rFonts w:hint="eastAsia" w:ascii="仿宋" w:hAnsi="仿宋" w:eastAsia="仿宋" w:cs="仿宋"/>
                <w:color w:val="auto"/>
                <w:kern w:val="0"/>
                <w:sz w:val="21"/>
                <w:szCs w:val="21"/>
                <w:highlight w:val="none"/>
              </w:rPr>
              <w:t>现场服务</w:t>
            </w:r>
          </w:p>
        </w:tc>
        <w:tc>
          <w:tcPr>
            <w:tcW w:w="1262" w:type="dxa"/>
            <w:tcBorders>
              <w:top w:val="single" w:color="auto" w:sz="4" w:space="0"/>
              <w:left w:val="nil"/>
              <w:bottom w:val="single" w:color="auto" w:sz="4" w:space="0"/>
              <w:right w:val="single" w:color="auto" w:sz="4" w:space="0"/>
            </w:tcBorders>
            <w:vAlign w:val="center"/>
          </w:tcPr>
          <w:p w14:paraId="29AE67EC">
            <w:pPr>
              <w:adjustRightInd w:val="0"/>
              <w:snapToGrid w:val="0"/>
              <w:spacing w:line="360" w:lineRule="auto"/>
              <w:jc w:val="center"/>
              <w:rPr>
                <w:rFonts w:hint="eastAsia" w:ascii="仿宋" w:hAnsi="仿宋" w:eastAsia="仿宋" w:cs="仿宋"/>
                <w:color w:val="auto"/>
                <w:kern w:val="0"/>
                <w:szCs w:val="21"/>
                <w:highlight w:val="none"/>
              </w:rPr>
            </w:pPr>
            <w:r>
              <w:rPr>
                <w:rFonts w:hint="eastAsia" w:ascii="仿宋" w:hAnsi="仿宋" w:eastAsia="仿宋" w:cs="仿宋"/>
                <w:color w:val="auto"/>
                <w:kern w:val="0"/>
                <w:sz w:val="21"/>
                <w:szCs w:val="21"/>
                <w:highlight w:val="none"/>
              </w:rPr>
              <w:t>不限</w:t>
            </w:r>
          </w:p>
        </w:tc>
      </w:tr>
      <w:tr w14:paraId="242BEDA0">
        <w:tblPrEx>
          <w:tblCellMar>
            <w:top w:w="0" w:type="dxa"/>
            <w:left w:w="108" w:type="dxa"/>
            <w:bottom w:w="0" w:type="dxa"/>
            <w:right w:w="108" w:type="dxa"/>
          </w:tblCellMar>
        </w:tblPrEx>
        <w:trPr>
          <w:trHeight w:val="699" w:hRule="atLeast"/>
        </w:trPr>
        <w:tc>
          <w:tcPr>
            <w:tcW w:w="748" w:type="dxa"/>
            <w:tcBorders>
              <w:top w:val="single" w:color="auto" w:sz="4" w:space="0"/>
              <w:left w:val="single" w:color="auto" w:sz="4" w:space="0"/>
              <w:bottom w:val="single" w:color="auto" w:sz="4" w:space="0"/>
              <w:right w:val="single" w:color="auto" w:sz="4" w:space="0"/>
            </w:tcBorders>
            <w:noWrap/>
            <w:vAlign w:val="center"/>
          </w:tcPr>
          <w:p w14:paraId="741C0900">
            <w:pPr>
              <w:snapToGrid w:val="0"/>
              <w:spacing w:line="360" w:lineRule="auto"/>
              <w:jc w:val="center"/>
              <w:rPr>
                <w:rFonts w:hint="eastAsia" w:ascii="仿宋" w:hAnsi="仿宋" w:eastAsia="仿宋" w:cs="仿宋"/>
                <w:color w:val="auto"/>
                <w:kern w:val="0"/>
                <w:szCs w:val="21"/>
                <w:highlight w:val="none"/>
              </w:rPr>
            </w:pPr>
            <w:r>
              <w:rPr>
                <w:rFonts w:hint="eastAsia" w:ascii="仿宋" w:hAnsi="仿宋" w:eastAsia="仿宋" w:cs="仿宋"/>
                <w:color w:val="auto"/>
                <w:kern w:val="0"/>
                <w:sz w:val="21"/>
                <w:szCs w:val="21"/>
                <w:highlight w:val="none"/>
              </w:rPr>
              <w:t>3</w:t>
            </w:r>
          </w:p>
        </w:tc>
        <w:tc>
          <w:tcPr>
            <w:tcW w:w="1775" w:type="dxa"/>
            <w:tcBorders>
              <w:top w:val="single" w:color="auto" w:sz="4" w:space="0"/>
              <w:left w:val="single" w:color="auto" w:sz="4" w:space="0"/>
              <w:bottom w:val="single" w:color="auto" w:sz="4" w:space="0"/>
              <w:right w:val="single" w:color="auto" w:sz="4" w:space="0"/>
            </w:tcBorders>
            <w:vAlign w:val="center"/>
          </w:tcPr>
          <w:p w14:paraId="72923CE2">
            <w:pPr>
              <w:snapToGrid w:val="0"/>
              <w:spacing w:line="360" w:lineRule="auto"/>
              <w:jc w:val="center"/>
              <w:rPr>
                <w:rFonts w:hint="eastAsia" w:ascii="仿宋" w:hAnsi="仿宋" w:eastAsia="仿宋" w:cs="仿宋"/>
                <w:color w:val="auto"/>
                <w:kern w:val="0"/>
                <w:szCs w:val="21"/>
                <w:highlight w:val="none"/>
              </w:rPr>
            </w:pPr>
            <w:r>
              <w:rPr>
                <w:rFonts w:hint="eastAsia" w:ascii="仿宋" w:hAnsi="仿宋" w:eastAsia="仿宋" w:cs="仿宋"/>
                <w:color w:val="auto"/>
                <w:kern w:val="0"/>
                <w:sz w:val="21"/>
                <w:szCs w:val="21"/>
                <w:highlight w:val="none"/>
              </w:rPr>
              <w:t>第三方应用信息系统接口开发服务</w:t>
            </w:r>
          </w:p>
        </w:tc>
        <w:tc>
          <w:tcPr>
            <w:tcW w:w="4565" w:type="dxa"/>
            <w:tcBorders>
              <w:top w:val="single" w:color="auto" w:sz="4" w:space="0"/>
              <w:left w:val="single" w:color="auto" w:sz="4" w:space="0"/>
              <w:bottom w:val="single" w:color="auto" w:sz="4" w:space="0"/>
              <w:right w:val="single" w:color="auto" w:sz="4" w:space="0"/>
            </w:tcBorders>
            <w:noWrap/>
            <w:vAlign w:val="center"/>
          </w:tcPr>
          <w:p w14:paraId="6F369BEA">
            <w:pPr>
              <w:snapToGrid w:val="0"/>
              <w:spacing w:line="360" w:lineRule="auto"/>
              <w:rPr>
                <w:rFonts w:hint="eastAsia" w:ascii="仿宋" w:hAnsi="仿宋" w:eastAsia="仿宋" w:cs="仿宋"/>
                <w:color w:val="auto"/>
                <w:kern w:val="0"/>
                <w:szCs w:val="21"/>
                <w:highlight w:val="none"/>
              </w:rPr>
            </w:pPr>
            <w:r>
              <w:rPr>
                <w:rFonts w:hint="eastAsia" w:ascii="仿宋" w:hAnsi="仿宋" w:eastAsia="仿宋" w:cs="仿宋"/>
                <w:color w:val="auto"/>
                <w:kern w:val="0"/>
                <w:sz w:val="21"/>
                <w:szCs w:val="21"/>
                <w:highlight w:val="none"/>
              </w:rPr>
              <w:t>为满足医院信息化建设中信息数据共享的需求，针对医院采购的第三方应用系统，服务商需组织专业技术人员，与第三方供应商技术人员协同开展系统接口开发工作。同时，服务商应负责接口软件的安装与调试，确保最终实现院方数据共享的业务目标。具体技术要求详见4.2。</w:t>
            </w:r>
          </w:p>
        </w:tc>
        <w:tc>
          <w:tcPr>
            <w:tcW w:w="1262" w:type="dxa"/>
            <w:tcBorders>
              <w:top w:val="single" w:color="auto" w:sz="4" w:space="0"/>
              <w:left w:val="nil"/>
              <w:bottom w:val="single" w:color="auto" w:sz="4" w:space="0"/>
              <w:right w:val="single" w:color="auto" w:sz="4" w:space="0"/>
            </w:tcBorders>
            <w:noWrap/>
            <w:vAlign w:val="center"/>
          </w:tcPr>
          <w:p w14:paraId="38B749AE">
            <w:pPr>
              <w:adjustRightInd w:val="0"/>
              <w:snapToGrid w:val="0"/>
              <w:spacing w:line="360" w:lineRule="auto"/>
              <w:jc w:val="center"/>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远程服务</w:t>
            </w:r>
          </w:p>
          <w:p w14:paraId="64E14F0D">
            <w:pPr>
              <w:adjustRightInd w:val="0"/>
              <w:snapToGrid w:val="0"/>
              <w:spacing w:line="360" w:lineRule="auto"/>
              <w:jc w:val="center"/>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现场服务</w:t>
            </w:r>
          </w:p>
        </w:tc>
        <w:tc>
          <w:tcPr>
            <w:tcW w:w="1262" w:type="dxa"/>
            <w:tcBorders>
              <w:top w:val="single" w:color="auto" w:sz="4" w:space="0"/>
              <w:left w:val="nil"/>
              <w:bottom w:val="single" w:color="auto" w:sz="4" w:space="0"/>
              <w:right w:val="single" w:color="auto" w:sz="4" w:space="0"/>
            </w:tcBorders>
            <w:vAlign w:val="center"/>
          </w:tcPr>
          <w:p w14:paraId="32A2A1F4">
            <w:pPr>
              <w:adjustRightInd w:val="0"/>
              <w:snapToGrid w:val="0"/>
              <w:spacing w:line="360" w:lineRule="auto"/>
              <w:jc w:val="center"/>
              <w:rPr>
                <w:rFonts w:hint="eastAsia" w:ascii="仿宋" w:hAnsi="仿宋" w:eastAsia="仿宋" w:cs="仿宋"/>
                <w:color w:val="auto"/>
                <w:kern w:val="0"/>
                <w:szCs w:val="21"/>
                <w:highlight w:val="none"/>
              </w:rPr>
            </w:pPr>
            <w:r>
              <w:rPr>
                <w:rFonts w:hint="eastAsia" w:ascii="仿宋" w:hAnsi="仿宋" w:eastAsia="仿宋" w:cs="仿宋"/>
                <w:color w:val="auto"/>
                <w:kern w:val="0"/>
                <w:sz w:val="21"/>
                <w:szCs w:val="21"/>
                <w:highlight w:val="none"/>
              </w:rPr>
              <w:t>3个</w:t>
            </w:r>
          </w:p>
        </w:tc>
      </w:tr>
      <w:tr w14:paraId="47C4ED15">
        <w:tblPrEx>
          <w:tblCellMar>
            <w:top w:w="0" w:type="dxa"/>
            <w:left w:w="108" w:type="dxa"/>
            <w:bottom w:w="0" w:type="dxa"/>
            <w:right w:w="108" w:type="dxa"/>
          </w:tblCellMar>
        </w:tblPrEx>
        <w:trPr>
          <w:trHeight w:val="1444" w:hRule="atLeast"/>
        </w:trPr>
        <w:tc>
          <w:tcPr>
            <w:tcW w:w="748" w:type="dxa"/>
            <w:tcBorders>
              <w:top w:val="single" w:color="auto" w:sz="4" w:space="0"/>
              <w:left w:val="single" w:color="auto" w:sz="4" w:space="0"/>
              <w:bottom w:val="single" w:color="auto" w:sz="4" w:space="0"/>
              <w:right w:val="single" w:color="auto" w:sz="4" w:space="0"/>
            </w:tcBorders>
            <w:noWrap/>
            <w:vAlign w:val="center"/>
          </w:tcPr>
          <w:p w14:paraId="4447E0C0">
            <w:pPr>
              <w:snapToGrid w:val="0"/>
              <w:spacing w:line="360" w:lineRule="auto"/>
              <w:jc w:val="center"/>
              <w:rPr>
                <w:rFonts w:hint="eastAsia" w:ascii="仿宋" w:hAnsi="仿宋" w:eastAsia="仿宋" w:cs="仿宋"/>
                <w:color w:val="auto"/>
                <w:kern w:val="0"/>
                <w:szCs w:val="21"/>
                <w:highlight w:val="none"/>
              </w:rPr>
            </w:pPr>
            <w:r>
              <w:rPr>
                <w:rFonts w:hint="eastAsia" w:ascii="仿宋" w:hAnsi="仿宋" w:eastAsia="仿宋" w:cs="仿宋"/>
                <w:color w:val="auto"/>
                <w:kern w:val="0"/>
                <w:sz w:val="21"/>
                <w:szCs w:val="21"/>
                <w:highlight w:val="none"/>
              </w:rPr>
              <w:t>4</w:t>
            </w:r>
          </w:p>
        </w:tc>
        <w:tc>
          <w:tcPr>
            <w:tcW w:w="1775" w:type="dxa"/>
            <w:tcBorders>
              <w:top w:val="single" w:color="auto" w:sz="4" w:space="0"/>
              <w:left w:val="single" w:color="auto" w:sz="4" w:space="0"/>
              <w:bottom w:val="single" w:color="auto" w:sz="4" w:space="0"/>
              <w:right w:val="single" w:color="auto" w:sz="4" w:space="0"/>
            </w:tcBorders>
            <w:vAlign w:val="center"/>
          </w:tcPr>
          <w:p w14:paraId="1486067C">
            <w:pPr>
              <w:snapToGrid w:val="0"/>
              <w:spacing w:line="360" w:lineRule="auto"/>
              <w:jc w:val="center"/>
              <w:rPr>
                <w:rFonts w:hint="eastAsia" w:ascii="仿宋" w:hAnsi="仿宋" w:eastAsia="仿宋" w:cs="仿宋"/>
                <w:color w:val="auto"/>
                <w:kern w:val="0"/>
                <w:szCs w:val="21"/>
                <w:highlight w:val="none"/>
              </w:rPr>
            </w:pPr>
            <w:r>
              <w:rPr>
                <w:rFonts w:hint="eastAsia" w:ascii="仿宋" w:hAnsi="仿宋" w:eastAsia="仿宋" w:cs="仿宋"/>
                <w:color w:val="auto"/>
                <w:kern w:val="0"/>
                <w:sz w:val="21"/>
                <w:szCs w:val="21"/>
                <w:highlight w:val="none"/>
              </w:rPr>
              <w:t>医院检验、影像设备接口开发服务</w:t>
            </w:r>
          </w:p>
        </w:tc>
        <w:tc>
          <w:tcPr>
            <w:tcW w:w="4565" w:type="dxa"/>
            <w:tcBorders>
              <w:top w:val="single" w:color="auto" w:sz="4" w:space="0"/>
              <w:left w:val="single" w:color="auto" w:sz="4" w:space="0"/>
              <w:bottom w:val="single" w:color="auto" w:sz="4" w:space="0"/>
              <w:right w:val="single" w:color="auto" w:sz="4" w:space="0"/>
            </w:tcBorders>
            <w:noWrap/>
            <w:vAlign w:val="center"/>
          </w:tcPr>
          <w:p w14:paraId="74B389A0">
            <w:pPr>
              <w:snapToGrid w:val="0"/>
              <w:spacing w:line="360" w:lineRule="auto"/>
              <w:rPr>
                <w:rFonts w:hint="eastAsia" w:ascii="仿宋" w:hAnsi="仿宋" w:eastAsia="仿宋" w:cs="仿宋"/>
                <w:color w:val="auto"/>
                <w:kern w:val="0"/>
                <w:szCs w:val="21"/>
                <w:highlight w:val="none"/>
              </w:rPr>
            </w:pPr>
            <w:r>
              <w:rPr>
                <w:rFonts w:hint="eastAsia" w:ascii="仿宋" w:hAnsi="仿宋" w:eastAsia="仿宋" w:cs="仿宋"/>
                <w:color w:val="auto"/>
                <w:kern w:val="0"/>
                <w:sz w:val="21"/>
                <w:szCs w:val="21"/>
                <w:highlight w:val="none"/>
              </w:rPr>
              <w:t>医院根据自身发展需求新增或调整检验、影像与检查仪器设备，服务商组织专业技术人员为院方提供接口程序的开发、调试服务，保障仪器设备无缝对接相应检验信息系统（LIS）与影像诊断系统（PACS）等信息系统。</w:t>
            </w:r>
          </w:p>
        </w:tc>
        <w:tc>
          <w:tcPr>
            <w:tcW w:w="1262" w:type="dxa"/>
            <w:tcBorders>
              <w:top w:val="single" w:color="auto" w:sz="4" w:space="0"/>
              <w:left w:val="nil"/>
              <w:bottom w:val="single" w:color="auto" w:sz="4" w:space="0"/>
              <w:right w:val="single" w:color="auto" w:sz="4" w:space="0"/>
            </w:tcBorders>
            <w:noWrap/>
            <w:vAlign w:val="center"/>
          </w:tcPr>
          <w:p w14:paraId="68636DBD">
            <w:pPr>
              <w:pStyle w:val="2"/>
              <w:adjustRightInd w:val="0"/>
              <w:snapToGrid w:val="0"/>
              <w:spacing w:line="360" w:lineRule="auto"/>
              <w:jc w:val="center"/>
              <w:rPr>
                <w:color w:val="auto"/>
                <w:kern w:val="0"/>
                <w:sz w:val="21"/>
                <w:szCs w:val="21"/>
                <w:highlight w:val="none"/>
              </w:rPr>
            </w:pPr>
            <w:r>
              <w:rPr>
                <w:rFonts w:hint="eastAsia"/>
                <w:color w:val="auto"/>
                <w:kern w:val="0"/>
                <w:sz w:val="21"/>
                <w:szCs w:val="21"/>
                <w:highlight w:val="none"/>
              </w:rPr>
              <w:t>远程服务</w:t>
            </w:r>
          </w:p>
          <w:p w14:paraId="595B0447">
            <w:pPr>
              <w:adjustRightInd w:val="0"/>
              <w:snapToGrid w:val="0"/>
              <w:spacing w:line="360" w:lineRule="auto"/>
              <w:jc w:val="center"/>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现场服务</w:t>
            </w:r>
          </w:p>
        </w:tc>
        <w:tc>
          <w:tcPr>
            <w:tcW w:w="1262" w:type="dxa"/>
            <w:tcBorders>
              <w:top w:val="single" w:color="auto" w:sz="4" w:space="0"/>
              <w:left w:val="nil"/>
              <w:bottom w:val="single" w:color="auto" w:sz="4" w:space="0"/>
              <w:right w:val="single" w:color="auto" w:sz="4" w:space="0"/>
            </w:tcBorders>
            <w:vAlign w:val="center"/>
          </w:tcPr>
          <w:p w14:paraId="2D78F3D4">
            <w:pPr>
              <w:adjustRightInd w:val="0"/>
              <w:snapToGrid w:val="0"/>
              <w:spacing w:line="360" w:lineRule="auto"/>
              <w:jc w:val="center"/>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不少于</w:t>
            </w:r>
          </w:p>
          <w:p w14:paraId="13BFFFCC">
            <w:pPr>
              <w:adjustRightInd w:val="0"/>
              <w:snapToGrid w:val="0"/>
              <w:spacing w:line="360" w:lineRule="auto"/>
              <w:jc w:val="center"/>
              <w:rPr>
                <w:rFonts w:hint="eastAsia" w:ascii="仿宋" w:hAnsi="仿宋" w:eastAsia="仿宋" w:cs="仿宋"/>
                <w:color w:val="auto"/>
                <w:kern w:val="0"/>
                <w:szCs w:val="21"/>
                <w:highlight w:val="none"/>
              </w:rPr>
            </w:pPr>
            <w:r>
              <w:rPr>
                <w:rFonts w:hint="eastAsia" w:ascii="仿宋" w:hAnsi="仿宋" w:eastAsia="仿宋" w:cs="仿宋"/>
                <w:color w:val="auto"/>
                <w:kern w:val="0"/>
                <w:sz w:val="21"/>
                <w:szCs w:val="21"/>
                <w:highlight w:val="none"/>
              </w:rPr>
              <w:t>5台</w:t>
            </w:r>
          </w:p>
        </w:tc>
      </w:tr>
      <w:tr w14:paraId="4D984A69">
        <w:tblPrEx>
          <w:tblCellMar>
            <w:top w:w="0" w:type="dxa"/>
            <w:left w:w="108" w:type="dxa"/>
            <w:bottom w:w="0" w:type="dxa"/>
            <w:right w:w="108" w:type="dxa"/>
          </w:tblCellMar>
        </w:tblPrEx>
        <w:trPr>
          <w:trHeight w:val="1444" w:hRule="atLeast"/>
        </w:trPr>
        <w:tc>
          <w:tcPr>
            <w:tcW w:w="748" w:type="dxa"/>
            <w:tcBorders>
              <w:top w:val="nil"/>
              <w:left w:val="single" w:color="auto" w:sz="4" w:space="0"/>
              <w:bottom w:val="single" w:color="auto" w:sz="4" w:space="0"/>
              <w:right w:val="single" w:color="auto" w:sz="4" w:space="0"/>
            </w:tcBorders>
            <w:noWrap/>
            <w:vAlign w:val="center"/>
          </w:tcPr>
          <w:p w14:paraId="68C80C67">
            <w:pPr>
              <w:snapToGrid w:val="0"/>
              <w:spacing w:line="360" w:lineRule="auto"/>
              <w:jc w:val="center"/>
              <w:rPr>
                <w:rFonts w:hint="eastAsia" w:ascii="仿宋" w:hAnsi="仿宋" w:eastAsia="仿宋" w:cs="仿宋"/>
                <w:color w:val="auto"/>
                <w:kern w:val="0"/>
                <w:szCs w:val="21"/>
                <w:highlight w:val="none"/>
              </w:rPr>
            </w:pPr>
            <w:r>
              <w:rPr>
                <w:rFonts w:hint="eastAsia" w:ascii="仿宋" w:hAnsi="仿宋" w:eastAsia="仿宋" w:cs="仿宋"/>
                <w:color w:val="auto"/>
                <w:kern w:val="0"/>
                <w:sz w:val="21"/>
                <w:szCs w:val="21"/>
                <w:highlight w:val="none"/>
              </w:rPr>
              <w:t>5</w:t>
            </w:r>
          </w:p>
        </w:tc>
        <w:tc>
          <w:tcPr>
            <w:tcW w:w="1775" w:type="dxa"/>
            <w:tcBorders>
              <w:top w:val="nil"/>
              <w:left w:val="single" w:color="auto" w:sz="4" w:space="0"/>
              <w:bottom w:val="single" w:color="auto" w:sz="4" w:space="0"/>
              <w:right w:val="single" w:color="auto" w:sz="4" w:space="0"/>
            </w:tcBorders>
            <w:vAlign w:val="center"/>
          </w:tcPr>
          <w:p w14:paraId="5D90BA16">
            <w:pPr>
              <w:snapToGrid w:val="0"/>
              <w:spacing w:line="360" w:lineRule="auto"/>
              <w:jc w:val="center"/>
              <w:rPr>
                <w:rFonts w:hint="eastAsia" w:ascii="仿宋" w:hAnsi="仿宋" w:eastAsia="仿宋" w:cs="仿宋"/>
                <w:color w:val="auto"/>
                <w:kern w:val="0"/>
                <w:szCs w:val="21"/>
                <w:highlight w:val="none"/>
              </w:rPr>
            </w:pPr>
            <w:r>
              <w:rPr>
                <w:rFonts w:hint="eastAsia" w:ascii="仿宋" w:hAnsi="仿宋" w:eastAsia="仿宋" w:cs="仿宋"/>
                <w:color w:val="auto"/>
                <w:kern w:val="0"/>
                <w:sz w:val="21"/>
                <w:szCs w:val="21"/>
                <w:highlight w:val="none"/>
              </w:rPr>
              <w:t>信息系统升级更新服务</w:t>
            </w:r>
          </w:p>
        </w:tc>
        <w:tc>
          <w:tcPr>
            <w:tcW w:w="4565" w:type="dxa"/>
            <w:tcBorders>
              <w:top w:val="single" w:color="auto" w:sz="4" w:space="0"/>
              <w:left w:val="single" w:color="auto" w:sz="4" w:space="0"/>
              <w:bottom w:val="single" w:color="auto" w:sz="4" w:space="0"/>
              <w:right w:val="single" w:color="auto" w:sz="4" w:space="0"/>
            </w:tcBorders>
            <w:noWrap/>
            <w:vAlign w:val="center"/>
          </w:tcPr>
          <w:p w14:paraId="1220055F">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1、服务商应根据国家、省和市政府部门新增或变更的相关政策，及时为医院提供系统更新服务；</w:t>
            </w:r>
          </w:p>
          <w:p w14:paraId="455EC6B8">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2、服务商组织专业技术人员为院方提供信息系统软件升级服务；</w:t>
            </w:r>
          </w:p>
          <w:p w14:paraId="0D611E43">
            <w:pPr>
              <w:snapToGrid w:val="0"/>
              <w:spacing w:line="360" w:lineRule="auto"/>
              <w:rPr>
                <w:rFonts w:hint="eastAsia" w:ascii="仿宋" w:hAnsi="仿宋" w:eastAsia="仿宋" w:cs="仿宋"/>
                <w:color w:val="auto"/>
                <w:kern w:val="0"/>
                <w:szCs w:val="21"/>
                <w:highlight w:val="none"/>
              </w:rPr>
            </w:pPr>
            <w:r>
              <w:rPr>
                <w:rFonts w:hint="eastAsia" w:ascii="仿宋" w:hAnsi="仿宋" w:eastAsia="仿宋" w:cs="仿宋"/>
                <w:color w:val="auto"/>
                <w:kern w:val="0"/>
                <w:sz w:val="21"/>
                <w:szCs w:val="21"/>
                <w:highlight w:val="none"/>
              </w:rPr>
              <w:t>3、服务商定期为院方提供系统安全补丁安装、调试服务。</w:t>
            </w:r>
          </w:p>
        </w:tc>
        <w:tc>
          <w:tcPr>
            <w:tcW w:w="1262" w:type="dxa"/>
            <w:tcBorders>
              <w:top w:val="single" w:color="auto" w:sz="4" w:space="0"/>
              <w:left w:val="nil"/>
              <w:bottom w:val="single" w:color="auto" w:sz="4" w:space="0"/>
              <w:right w:val="single" w:color="auto" w:sz="4" w:space="0"/>
            </w:tcBorders>
            <w:noWrap/>
            <w:vAlign w:val="center"/>
          </w:tcPr>
          <w:p w14:paraId="61D2A84F">
            <w:pPr>
              <w:adjustRightInd w:val="0"/>
              <w:snapToGrid w:val="0"/>
              <w:spacing w:line="360" w:lineRule="auto"/>
              <w:jc w:val="center"/>
              <w:rPr>
                <w:rFonts w:hint="eastAsia" w:ascii="仿宋" w:hAnsi="仿宋" w:eastAsia="仿宋" w:cs="仿宋"/>
                <w:color w:val="auto"/>
                <w:kern w:val="0"/>
                <w:szCs w:val="21"/>
                <w:highlight w:val="none"/>
              </w:rPr>
            </w:pPr>
            <w:r>
              <w:rPr>
                <w:rFonts w:hint="eastAsia" w:ascii="仿宋" w:hAnsi="仿宋" w:eastAsia="仿宋" w:cs="仿宋"/>
                <w:color w:val="auto"/>
                <w:kern w:val="0"/>
                <w:sz w:val="21"/>
                <w:szCs w:val="21"/>
                <w:highlight w:val="none"/>
              </w:rPr>
              <w:t>现场服务</w:t>
            </w:r>
          </w:p>
        </w:tc>
        <w:tc>
          <w:tcPr>
            <w:tcW w:w="1262" w:type="dxa"/>
            <w:tcBorders>
              <w:top w:val="single" w:color="auto" w:sz="4" w:space="0"/>
              <w:left w:val="nil"/>
              <w:bottom w:val="single" w:color="auto" w:sz="4" w:space="0"/>
              <w:right w:val="single" w:color="auto" w:sz="4" w:space="0"/>
            </w:tcBorders>
            <w:vAlign w:val="center"/>
          </w:tcPr>
          <w:p w14:paraId="698FD2D6">
            <w:pPr>
              <w:adjustRightInd w:val="0"/>
              <w:snapToGrid w:val="0"/>
              <w:spacing w:line="360" w:lineRule="auto"/>
              <w:jc w:val="center"/>
              <w:rPr>
                <w:rFonts w:hint="eastAsia" w:ascii="仿宋" w:hAnsi="仿宋" w:eastAsia="仿宋" w:cs="仿宋"/>
                <w:color w:val="auto"/>
                <w:szCs w:val="21"/>
                <w:highlight w:val="none"/>
              </w:rPr>
            </w:pPr>
            <w:r>
              <w:rPr>
                <w:rFonts w:hint="eastAsia" w:ascii="仿宋" w:hAnsi="仿宋" w:eastAsia="仿宋" w:cs="仿宋"/>
                <w:color w:val="auto"/>
                <w:kern w:val="0"/>
                <w:sz w:val="21"/>
                <w:szCs w:val="21"/>
                <w:highlight w:val="none"/>
              </w:rPr>
              <w:t>不限</w:t>
            </w:r>
          </w:p>
        </w:tc>
      </w:tr>
      <w:tr w14:paraId="12B8D9F7">
        <w:tblPrEx>
          <w:tblCellMar>
            <w:top w:w="0" w:type="dxa"/>
            <w:left w:w="108" w:type="dxa"/>
            <w:bottom w:w="0" w:type="dxa"/>
            <w:right w:w="108" w:type="dxa"/>
          </w:tblCellMar>
        </w:tblPrEx>
        <w:trPr>
          <w:trHeight w:val="1567" w:hRule="atLeast"/>
        </w:trPr>
        <w:tc>
          <w:tcPr>
            <w:tcW w:w="748" w:type="dxa"/>
            <w:tcBorders>
              <w:top w:val="nil"/>
              <w:left w:val="single" w:color="auto" w:sz="4" w:space="0"/>
              <w:bottom w:val="single" w:color="auto" w:sz="4" w:space="0"/>
              <w:right w:val="single" w:color="auto" w:sz="4" w:space="0"/>
            </w:tcBorders>
            <w:noWrap/>
            <w:vAlign w:val="center"/>
          </w:tcPr>
          <w:p w14:paraId="666B82D9">
            <w:pPr>
              <w:snapToGrid w:val="0"/>
              <w:spacing w:line="360" w:lineRule="auto"/>
              <w:jc w:val="center"/>
              <w:rPr>
                <w:rFonts w:hint="eastAsia" w:ascii="仿宋" w:hAnsi="仿宋" w:eastAsia="仿宋" w:cs="仿宋"/>
                <w:color w:val="auto"/>
                <w:kern w:val="0"/>
                <w:szCs w:val="21"/>
                <w:highlight w:val="none"/>
              </w:rPr>
            </w:pPr>
            <w:r>
              <w:rPr>
                <w:rFonts w:hint="eastAsia" w:ascii="仿宋" w:hAnsi="仿宋" w:eastAsia="仿宋" w:cs="仿宋"/>
                <w:color w:val="auto"/>
                <w:kern w:val="0"/>
                <w:sz w:val="21"/>
                <w:szCs w:val="21"/>
                <w:highlight w:val="none"/>
              </w:rPr>
              <w:t>6</w:t>
            </w:r>
          </w:p>
        </w:tc>
        <w:tc>
          <w:tcPr>
            <w:tcW w:w="1775" w:type="dxa"/>
            <w:tcBorders>
              <w:top w:val="nil"/>
              <w:left w:val="single" w:color="auto" w:sz="4" w:space="0"/>
              <w:bottom w:val="single" w:color="auto" w:sz="4" w:space="0"/>
              <w:right w:val="single" w:color="auto" w:sz="4" w:space="0"/>
            </w:tcBorders>
            <w:vAlign w:val="center"/>
          </w:tcPr>
          <w:p w14:paraId="45879D77">
            <w:pPr>
              <w:snapToGrid w:val="0"/>
              <w:spacing w:line="360" w:lineRule="auto"/>
              <w:jc w:val="center"/>
              <w:rPr>
                <w:rFonts w:hint="eastAsia" w:ascii="仿宋" w:hAnsi="仿宋" w:eastAsia="仿宋" w:cs="仿宋"/>
                <w:color w:val="auto"/>
                <w:kern w:val="0"/>
                <w:szCs w:val="21"/>
                <w:highlight w:val="none"/>
              </w:rPr>
            </w:pPr>
            <w:r>
              <w:rPr>
                <w:rFonts w:hint="eastAsia" w:ascii="仿宋" w:hAnsi="仿宋" w:eastAsia="仿宋" w:cs="仿宋"/>
                <w:color w:val="auto"/>
                <w:kern w:val="0"/>
                <w:sz w:val="21"/>
                <w:szCs w:val="21"/>
                <w:highlight w:val="none"/>
              </w:rPr>
              <w:t>网络安全与数据安全服务</w:t>
            </w:r>
          </w:p>
        </w:tc>
        <w:tc>
          <w:tcPr>
            <w:tcW w:w="4565" w:type="dxa"/>
            <w:tcBorders>
              <w:top w:val="single" w:color="auto" w:sz="4" w:space="0"/>
              <w:left w:val="single" w:color="auto" w:sz="4" w:space="0"/>
              <w:bottom w:val="single" w:color="auto" w:sz="4" w:space="0"/>
              <w:right w:val="single" w:color="auto" w:sz="4" w:space="0"/>
            </w:tcBorders>
            <w:noWrap/>
            <w:vAlign w:val="center"/>
          </w:tcPr>
          <w:p w14:paraId="4736851B">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1、服务商应根据《国家网络安全法》、《个人信息保护法》及相关法律法规，为医院提供网络安全服务与数据安全服务。</w:t>
            </w:r>
          </w:p>
          <w:p w14:paraId="12A0133C">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2、网络安全服务包含且不限以下服务：漏洞修复、安全问题整改、安全风险排查等服务。</w:t>
            </w:r>
          </w:p>
          <w:p w14:paraId="59F1A403">
            <w:pPr>
              <w:pStyle w:val="2"/>
              <w:snapToGrid w:val="0"/>
              <w:spacing w:line="360" w:lineRule="auto"/>
              <w:rPr>
                <w:rFonts w:hint="eastAsia" w:ascii="仿宋" w:hAnsi="仿宋" w:cs="仿宋"/>
                <w:color w:val="auto"/>
                <w:kern w:val="0"/>
                <w:sz w:val="21"/>
                <w:szCs w:val="21"/>
                <w:highlight w:val="none"/>
              </w:rPr>
            </w:pPr>
            <w:r>
              <w:rPr>
                <w:rFonts w:hint="eastAsia"/>
                <w:color w:val="auto"/>
                <w:sz w:val="21"/>
                <w:szCs w:val="21"/>
                <w:highlight w:val="none"/>
                <w:lang w:eastAsia="zh-CN"/>
              </w:rPr>
              <w:t>3、数据安全服务</w:t>
            </w:r>
            <w:r>
              <w:rPr>
                <w:rFonts w:hint="eastAsia"/>
                <w:color w:val="auto"/>
                <w:kern w:val="0"/>
                <w:sz w:val="21"/>
                <w:szCs w:val="21"/>
                <w:highlight w:val="none"/>
                <w:lang w:eastAsia="zh-CN"/>
              </w:rPr>
              <w:t>包含且不限以下服务：数据加密、数据备份与恢复与数据库安全审计等服务</w:t>
            </w:r>
          </w:p>
        </w:tc>
        <w:tc>
          <w:tcPr>
            <w:tcW w:w="1262" w:type="dxa"/>
            <w:tcBorders>
              <w:top w:val="single" w:color="auto" w:sz="4" w:space="0"/>
              <w:left w:val="nil"/>
              <w:bottom w:val="single" w:color="auto" w:sz="4" w:space="0"/>
              <w:right w:val="single" w:color="auto" w:sz="4" w:space="0"/>
            </w:tcBorders>
            <w:noWrap/>
            <w:vAlign w:val="center"/>
          </w:tcPr>
          <w:p w14:paraId="4AA8D1C7">
            <w:pPr>
              <w:adjustRightInd w:val="0"/>
              <w:snapToGrid w:val="0"/>
              <w:spacing w:line="360" w:lineRule="auto"/>
              <w:jc w:val="center"/>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远程服务</w:t>
            </w:r>
          </w:p>
          <w:p w14:paraId="48C1C024">
            <w:pPr>
              <w:adjustRightInd w:val="0"/>
              <w:snapToGrid w:val="0"/>
              <w:spacing w:line="360" w:lineRule="auto"/>
              <w:jc w:val="center"/>
              <w:rPr>
                <w:rFonts w:hint="eastAsia" w:ascii="仿宋" w:hAnsi="仿宋" w:eastAsia="仿宋" w:cs="仿宋"/>
                <w:color w:val="auto"/>
                <w:kern w:val="0"/>
                <w:szCs w:val="21"/>
                <w:highlight w:val="none"/>
              </w:rPr>
            </w:pPr>
            <w:r>
              <w:rPr>
                <w:rFonts w:hint="eastAsia" w:ascii="仿宋" w:hAnsi="仿宋" w:eastAsia="仿宋" w:cs="仿宋"/>
                <w:color w:val="auto"/>
                <w:kern w:val="0"/>
                <w:sz w:val="21"/>
                <w:szCs w:val="21"/>
                <w:highlight w:val="none"/>
              </w:rPr>
              <w:t>现场服务</w:t>
            </w:r>
          </w:p>
        </w:tc>
        <w:tc>
          <w:tcPr>
            <w:tcW w:w="1262" w:type="dxa"/>
            <w:tcBorders>
              <w:top w:val="single" w:color="auto" w:sz="4" w:space="0"/>
              <w:left w:val="nil"/>
              <w:bottom w:val="single" w:color="auto" w:sz="4" w:space="0"/>
              <w:right w:val="single" w:color="auto" w:sz="4" w:space="0"/>
            </w:tcBorders>
            <w:vAlign w:val="center"/>
          </w:tcPr>
          <w:p w14:paraId="4BF50B21">
            <w:pPr>
              <w:adjustRightInd w:val="0"/>
              <w:snapToGrid w:val="0"/>
              <w:spacing w:line="360" w:lineRule="auto"/>
              <w:jc w:val="center"/>
              <w:rPr>
                <w:rFonts w:hint="eastAsia" w:ascii="仿宋" w:hAnsi="仿宋" w:eastAsia="仿宋" w:cs="仿宋"/>
                <w:color w:val="auto"/>
                <w:kern w:val="0"/>
                <w:szCs w:val="21"/>
                <w:highlight w:val="none"/>
              </w:rPr>
            </w:pPr>
            <w:r>
              <w:rPr>
                <w:rFonts w:hint="eastAsia" w:ascii="仿宋" w:hAnsi="仿宋" w:eastAsia="仿宋" w:cs="仿宋"/>
                <w:color w:val="auto"/>
                <w:kern w:val="0"/>
                <w:sz w:val="21"/>
                <w:szCs w:val="21"/>
                <w:highlight w:val="none"/>
              </w:rPr>
              <w:t>不限</w:t>
            </w:r>
          </w:p>
        </w:tc>
      </w:tr>
      <w:tr w14:paraId="08A74FAC">
        <w:tblPrEx>
          <w:tblCellMar>
            <w:top w:w="0" w:type="dxa"/>
            <w:left w:w="108" w:type="dxa"/>
            <w:bottom w:w="0" w:type="dxa"/>
            <w:right w:w="108" w:type="dxa"/>
          </w:tblCellMar>
        </w:tblPrEx>
        <w:trPr>
          <w:trHeight w:val="705" w:hRule="atLeast"/>
        </w:trPr>
        <w:tc>
          <w:tcPr>
            <w:tcW w:w="748" w:type="dxa"/>
            <w:tcBorders>
              <w:top w:val="nil"/>
              <w:left w:val="single" w:color="auto" w:sz="4" w:space="0"/>
              <w:bottom w:val="single" w:color="auto" w:sz="4" w:space="0"/>
              <w:right w:val="single" w:color="auto" w:sz="4" w:space="0"/>
            </w:tcBorders>
            <w:noWrap/>
            <w:vAlign w:val="center"/>
          </w:tcPr>
          <w:p w14:paraId="588E9E90">
            <w:pPr>
              <w:snapToGrid w:val="0"/>
              <w:spacing w:line="360" w:lineRule="auto"/>
              <w:jc w:val="center"/>
              <w:rPr>
                <w:rFonts w:hint="eastAsia" w:ascii="仿宋" w:hAnsi="仿宋" w:eastAsia="仿宋" w:cs="仿宋"/>
                <w:color w:val="auto"/>
                <w:kern w:val="0"/>
                <w:szCs w:val="21"/>
                <w:highlight w:val="none"/>
              </w:rPr>
            </w:pPr>
            <w:r>
              <w:rPr>
                <w:rFonts w:hint="eastAsia" w:ascii="仿宋" w:hAnsi="仿宋" w:eastAsia="仿宋" w:cs="仿宋"/>
                <w:color w:val="auto"/>
                <w:kern w:val="0"/>
                <w:sz w:val="21"/>
                <w:szCs w:val="21"/>
                <w:highlight w:val="none"/>
              </w:rPr>
              <w:t>7</w:t>
            </w:r>
          </w:p>
        </w:tc>
        <w:tc>
          <w:tcPr>
            <w:tcW w:w="1775" w:type="dxa"/>
            <w:tcBorders>
              <w:top w:val="nil"/>
              <w:left w:val="single" w:color="auto" w:sz="4" w:space="0"/>
              <w:bottom w:val="single" w:color="auto" w:sz="4" w:space="0"/>
              <w:right w:val="single" w:color="auto" w:sz="4" w:space="0"/>
            </w:tcBorders>
            <w:vAlign w:val="center"/>
          </w:tcPr>
          <w:p w14:paraId="7265DF3D">
            <w:pPr>
              <w:snapToGrid w:val="0"/>
              <w:spacing w:line="360" w:lineRule="auto"/>
              <w:rPr>
                <w:rFonts w:hint="eastAsia" w:ascii="仿宋" w:hAnsi="仿宋" w:eastAsia="仿宋" w:cs="仿宋"/>
                <w:color w:val="auto"/>
                <w:kern w:val="0"/>
                <w:szCs w:val="21"/>
                <w:highlight w:val="none"/>
              </w:rPr>
            </w:pPr>
            <w:r>
              <w:rPr>
                <w:rFonts w:hint="eastAsia" w:ascii="仿宋" w:hAnsi="仿宋" w:eastAsia="仿宋" w:cs="仿宋"/>
                <w:color w:val="auto"/>
                <w:kern w:val="0"/>
                <w:sz w:val="21"/>
                <w:szCs w:val="21"/>
                <w:highlight w:val="none"/>
              </w:rPr>
              <w:t>人员培训服务</w:t>
            </w:r>
          </w:p>
        </w:tc>
        <w:tc>
          <w:tcPr>
            <w:tcW w:w="4565" w:type="dxa"/>
            <w:tcBorders>
              <w:top w:val="single" w:color="auto" w:sz="4" w:space="0"/>
              <w:left w:val="single" w:color="auto" w:sz="4" w:space="0"/>
              <w:bottom w:val="single" w:color="auto" w:sz="4" w:space="0"/>
              <w:right w:val="single" w:color="auto" w:sz="4" w:space="0"/>
            </w:tcBorders>
            <w:noWrap/>
            <w:vAlign w:val="center"/>
          </w:tcPr>
          <w:p w14:paraId="49321AB3">
            <w:pPr>
              <w:snapToGrid w:val="0"/>
              <w:spacing w:line="360" w:lineRule="auto"/>
              <w:rPr>
                <w:rFonts w:hint="eastAsia" w:ascii="仿宋" w:hAnsi="仿宋" w:eastAsia="仿宋" w:cs="仿宋"/>
                <w:color w:val="auto"/>
                <w:kern w:val="0"/>
                <w:szCs w:val="21"/>
                <w:highlight w:val="none"/>
              </w:rPr>
            </w:pPr>
            <w:r>
              <w:rPr>
                <w:rFonts w:hint="eastAsia" w:ascii="仿宋" w:hAnsi="仿宋" w:eastAsia="仿宋" w:cs="仿宋"/>
                <w:color w:val="auto"/>
                <w:kern w:val="0"/>
                <w:sz w:val="21"/>
                <w:szCs w:val="21"/>
                <w:highlight w:val="none"/>
              </w:rPr>
              <w:t>服务商应定期组织技术人员为院方提供信息系统相关技术培训服务。</w:t>
            </w:r>
          </w:p>
        </w:tc>
        <w:tc>
          <w:tcPr>
            <w:tcW w:w="1262" w:type="dxa"/>
            <w:tcBorders>
              <w:top w:val="single" w:color="auto" w:sz="4" w:space="0"/>
              <w:left w:val="nil"/>
              <w:bottom w:val="single" w:color="auto" w:sz="4" w:space="0"/>
              <w:right w:val="single" w:color="auto" w:sz="4" w:space="0"/>
            </w:tcBorders>
            <w:noWrap/>
            <w:vAlign w:val="center"/>
          </w:tcPr>
          <w:p w14:paraId="338F51B5">
            <w:pPr>
              <w:adjustRightInd w:val="0"/>
              <w:snapToGrid w:val="0"/>
              <w:spacing w:line="360" w:lineRule="auto"/>
              <w:jc w:val="center"/>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远程服务</w:t>
            </w:r>
          </w:p>
          <w:p w14:paraId="3831F61D">
            <w:pPr>
              <w:adjustRightInd w:val="0"/>
              <w:snapToGrid w:val="0"/>
              <w:spacing w:line="360" w:lineRule="auto"/>
              <w:jc w:val="center"/>
              <w:rPr>
                <w:rFonts w:hint="eastAsia" w:ascii="仿宋" w:hAnsi="仿宋" w:eastAsia="仿宋" w:cs="仿宋"/>
                <w:color w:val="auto"/>
                <w:kern w:val="0"/>
                <w:szCs w:val="21"/>
                <w:highlight w:val="none"/>
              </w:rPr>
            </w:pPr>
            <w:r>
              <w:rPr>
                <w:rFonts w:hint="eastAsia" w:ascii="仿宋" w:hAnsi="仿宋" w:eastAsia="仿宋" w:cs="仿宋"/>
                <w:color w:val="auto"/>
                <w:kern w:val="0"/>
                <w:sz w:val="21"/>
                <w:szCs w:val="21"/>
                <w:highlight w:val="none"/>
              </w:rPr>
              <w:t>现场服务</w:t>
            </w:r>
          </w:p>
        </w:tc>
        <w:tc>
          <w:tcPr>
            <w:tcW w:w="1262" w:type="dxa"/>
            <w:tcBorders>
              <w:top w:val="single" w:color="auto" w:sz="4" w:space="0"/>
              <w:left w:val="nil"/>
              <w:bottom w:val="single" w:color="auto" w:sz="4" w:space="0"/>
              <w:right w:val="single" w:color="auto" w:sz="4" w:space="0"/>
            </w:tcBorders>
            <w:vAlign w:val="center"/>
          </w:tcPr>
          <w:p w14:paraId="6FBB89EE">
            <w:pPr>
              <w:adjustRightInd w:val="0"/>
              <w:snapToGrid w:val="0"/>
              <w:spacing w:line="360" w:lineRule="auto"/>
              <w:jc w:val="center"/>
              <w:rPr>
                <w:rFonts w:hint="eastAsia" w:ascii="仿宋" w:hAnsi="仿宋" w:eastAsia="仿宋" w:cs="仿宋"/>
                <w:color w:val="auto"/>
                <w:kern w:val="0"/>
                <w:szCs w:val="21"/>
                <w:highlight w:val="none"/>
              </w:rPr>
            </w:pPr>
            <w:r>
              <w:rPr>
                <w:rFonts w:hint="eastAsia" w:ascii="仿宋" w:hAnsi="仿宋" w:eastAsia="仿宋" w:cs="仿宋"/>
                <w:color w:val="auto"/>
                <w:kern w:val="0"/>
                <w:sz w:val="21"/>
                <w:szCs w:val="21"/>
                <w:highlight w:val="none"/>
              </w:rPr>
              <w:t>全年不少于20学时</w:t>
            </w:r>
          </w:p>
        </w:tc>
      </w:tr>
      <w:tr w14:paraId="1A48AE64">
        <w:tblPrEx>
          <w:tblCellMar>
            <w:top w:w="0" w:type="dxa"/>
            <w:left w:w="108" w:type="dxa"/>
            <w:bottom w:w="0" w:type="dxa"/>
            <w:right w:w="108" w:type="dxa"/>
          </w:tblCellMar>
        </w:tblPrEx>
        <w:trPr>
          <w:trHeight w:val="406" w:hRule="atLeast"/>
        </w:trPr>
        <w:tc>
          <w:tcPr>
            <w:tcW w:w="748" w:type="dxa"/>
            <w:tcBorders>
              <w:top w:val="single" w:color="000000" w:sz="4" w:space="0"/>
              <w:left w:val="single" w:color="auto" w:sz="4" w:space="0"/>
              <w:bottom w:val="single" w:color="000000" w:sz="4" w:space="0"/>
              <w:right w:val="single" w:color="auto" w:sz="4" w:space="0"/>
            </w:tcBorders>
            <w:noWrap/>
            <w:vAlign w:val="center"/>
          </w:tcPr>
          <w:p w14:paraId="15A835A8">
            <w:pPr>
              <w:snapToGrid w:val="0"/>
              <w:spacing w:line="360" w:lineRule="auto"/>
              <w:jc w:val="center"/>
              <w:rPr>
                <w:rFonts w:hint="eastAsia" w:ascii="仿宋" w:hAnsi="仿宋" w:eastAsia="仿宋" w:cs="仿宋"/>
                <w:color w:val="auto"/>
                <w:kern w:val="0"/>
                <w:szCs w:val="21"/>
                <w:highlight w:val="none"/>
              </w:rPr>
            </w:pPr>
            <w:r>
              <w:rPr>
                <w:rFonts w:hint="eastAsia" w:ascii="仿宋" w:hAnsi="仿宋" w:eastAsia="仿宋" w:cs="仿宋"/>
                <w:color w:val="auto"/>
                <w:kern w:val="0"/>
                <w:sz w:val="21"/>
                <w:szCs w:val="21"/>
                <w:highlight w:val="none"/>
              </w:rPr>
              <w:t>8</w:t>
            </w:r>
          </w:p>
        </w:tc>
        <w:tc>
          <w:tcPr>
            <w:tcW w:w="1775" w:type="dxa"/>
            <w:tcBorders>
              <w:top w:val="single" w:color="000000" w:sz="4" w:space="0"/>
              <w:left w:val="single" w:color="auto" w:sz="4" w:space="0"/>
              <w:bottom w:val="single" w:color="000000" w:sz="4" w:space="0"/>
              <w:right w:val="single" w:color="auto" w:sz="4" w:space="0"/>
            </w:tcBorders>
            <w:vAlign w:val="center"/>
          </w:tcPr>
          <w:p w14:paraId="711F1C09">
            <w:pPr>
              <w:snapToGrid w:val="0"/>
              <w:spacing w:line="360" w:lineRule="auto"/>
              <w:rPr>
                <w:rFonts w:hint="eastAsia" w:ascii="仿宋" w:hAnsi="仿宋" w:eastAsia="仿宋" w:cs="仿宋"/>
                <w:color w:val="auto"/>
                <w:kern w:val="0"/>
                <w:szCs w:val="21"/>
                <w:highlight w:val="none"/>
              </w:rPr>
            </w:pPr>
            <w:r>
              <w:rPr>
                <w:rFonts w:hint="eastAsia" w:ascii="仿宋" w:hAnsi="仿宋" w:eastAsia="仿宋" w:cs="仿宋"/>
                <w:color w:val="auto"/>
                <w:kern w:val="0"/>
                <w:sz w:val="21"/>
                <w:szCs w:val="21"/>
                <w:highlight w:val="none"/>
              </w:rPr>
              <w:t>报表开发服务</w:t>
            </w:r>
          </w:p>
        </w:tc>
        <w:tc>
          <w:tcPr>
            <w:tcW w:w="4565" w:type="dxa"/>
            <w:tcBorders>
              <w:top w:val="single" w:color="000000" w:sz="4" w:space="0"/>
              <w:left w:val="nil"/>
              <w:bottom w:val="single" w:color="000000" w:sz="4" w:space="0"/>
              <w:right w:val="single" w:color="auto" w:sz="4" w:space="0"/>
            </w:tcBorders>
            <w:noWrap/>
            <w:vAlign w:val="center"/>
          </w:tcPr>
          <w:p w14:paraId="51837357">
            <w:pPr>
              <w:snapToGrid w:val="0"/>
              <w:spacing w:line="360" w:lineRule="auto"/>
              <w:rPr>
                <w:rFonts w:hint="eastAsia" w:ascii="仿宋" w:hAnsi="仿宋" w:eastAsia="仿宋" w:cs="仿宋"/>
                <w:color w:val="auto"/>
                <w:kern w:val="0"/>
                <w:szCs w:val="21"/>
                <w:highlight w:val="none"/>
              </w:rPr>
            </w:pPr>
            <w:r>
              <w:rPr>
                <w:rFonts w:hint="eastAsia" w:ascii="仿宋" w:hAnsi="仿宋" w:eastAsia="仿宋" w:cs="仿宋"/>
                <w:color w:val="auto"/>
                <w:kern w:val="0"/>
                <w:sz w:val="21"/>
                <w:szCs w:val="21"/>
                <w:highlight w:val="none"/>
              </w:rPr>
              <w:t>服务商为院方提供新增报表开发服务。</w:t>
            </w:r>
          </w:p>
        </w:tc>
        <w:tc>
          <w:tcPr>
            <w:tcW w:w="1262" w:type="dxa"/>
            <w:tcBorders>
              <w:top w:val="single" w:color="auto" w:sz="4" w:space="0"/>
              <w:left w:val="nil"/>
              <w:bottom w:val="single" w:color="000000" w:sz="4" w:space="0"/>
              <w:right w:val="single" w:color="auto" w:sz="4" w:space="0"/>
            </w:tcBorders>
            <w:noWrap/>
            <w:vAlign w:val="center"/>
          </w:tcPr>
          <w:p w14:paraId="524D8251">
            <w:pPr>
              <w:adjustRightInd w:val="0"/>
              <w:snapToGrid w:val="0"/>
              <w:spacing w:line="360" w:lineRule="auto"/>
              <w:jc w:val="center"/>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远程服务</w:t>
            </w:r>
          </w:p>
          <w:p w14:paraId="235C7436">
            <w:pPr>
              <w:adjustRightInd w:val="0"/>
              <w:snapToGrid w:val="0"/>
              <w:spacing w:line="360" w:lineRule="auto"/>
              <w:jc w:val="center"/>
              <w:rPr>
                <w:rFonts w:hint="eastAsia" w:ascii="仿宋" w:hAnsi="仿宋" w:eastAsia="仿宋" w:cs="仿宋"/>
                <w:color w:val="auto"/>
                <w:kern w:val="0"/>
                <w:szCs w:val="21"/>
                <w:highlight w:val="none"/>
              </w:rPr>
            </w:pPr>
            <w:r>
              <w:rPr>
                <w:rFonts w:hint="eastAsia" w:ascii="仿宋" w:hAnsi="仿宋" w:eastAsia="仿宋" w:cs="仿宋"/>
                <w:color w:val="auto"/>
                <w:kern w:val="0"/>
                <w:sz w:val="21"/>
                <w:szCs w:val="21"/>
                <w:highlight w:val="none"/>
              </w:rPr>
              <w:t>现场服务</w:t>
            </w:r>
          </w:p>
        </w:tc>
        <w:tc>
          <w:tcPr>
            <w:tcW w:w="1262" w:type="dxa"/>
            <w:tcBorders>
              <w:top w:val="single" w:color="auto" w:sz="4" w:space="0"/>
              <w:left w:val="nil"/>
              <w:bottom w:val="single" w:color="auto" w:sz="4" w:space="0"/>
              <w:right w:val="single" w:color="auto" w:sz="4" w:space="0"/>
            </w:tcBorders>
            <w:vAlign w:val="center"/>
          </w:tcPr>
          <w:p w14:paraId="6BE4A639">
            <w:pPr>
              <w:adjustRightInd w:val="0"/>
              <w:snapToGrid w:val="0"/>
              <w:spacing w:line="360" w:lineRule="auto"/>
              <w:jc w:val="center"/>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不少于</w:t>
            </w:r>
          </w:p>
          <w:p w14:paraId="2CE2F7C9">
            <w:pPr>
              <w:adjustRightInd w:val="0"/>
              <w:snapToGrid w:val="0"/>
              <w:spacing w:line="360" w:lineRule="auto"/>
              <w:jc w:val="center"/>
              <w:rPr>
                <w:rFonts w:hint="eastAsia" w:ascii="仿宋" w:hAnsi="仿宋" w:eastAsia="仿宋" w:cs="仿宋"/>
                <w:color w:val="auto"/>
                <w:kern w:val="0"/>
                <w:szCs w:val="21"/>
                <w:highlight w:val="none"/>
              </w:rPr>
            </w:pPr>
            <w:r>
              <w:rPr>
                <w:rFonts w:hint="eastAsia" w:ascii="仿宋" w:hAnsi="仿宋" w:eastAsia="仿宋" w:cs="仿宋"/>
                <w:color w:val="auto"/>
                <w:kern w:val="0"/>
                <w:sz w:val="21"/>
                <w:szCs w:val="21"/>
                <w:highlight w:val="none"/>
              </w:rPr>
              <w:t>10张</w:t>
            </w:r>
          </w:p>
        </w:tc>
      </w:tr>
    </w:tbl>
    <w:p w14:paraId="10D2A4E3">
      <w:pPr>
        <w:pStyle w:val="3"/>
        <w:spacing w:line="336" w:lineRule="auto"/>
        <w:ind w:firstLine="420" w:firstLineChars="200"/>
        <w:rPr>
          <w:rFonts w:hint="eastAsia" w:ascii="仿宋" w:hAnsi="仿宋" w:eastAsia="仿宋" w:cs="仿宋"/>
          <w:color w:val="auto"/>
          <w:sz w:val="21"/>
          <w:szCs w:val="21"/>
          <w:highlight w:val="none"/>
        </w:rPr>
      </w:pPr>
    </w:p>
    <w:p w14:paraId="5A21348F">
      <w:pPr>
        <w:pStyle w:val="3"/>
        <w:spacing w:line="336"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 第三方系统接口开发服务技术要求：</w:t>
      </w:r>
    </w:p>
    <w:p w14:paraId="46EA3647">
      <w:pPr>
        <w:pStyle w:val="3"/>
        <w:spacing w:line="336"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2.1总体要求</w:t>
      </w:r>
    </w:p>
    <w:p w14:paraId="223123F4">
      <w:pPr>
        <w:pStyle w:val="3"/>
        <w:spacing w:line="336"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2.1.1 遵循标准与规范  </w:t>
      </w:r>
    </w:p>
    <w:p w14:paraId="523CF92B">
      <w:pPr>
        <w:pStyle w:val="3"/>
        <w:spacing w:line="336"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2.1.1.1严格遵循《食源性疾病病例数据智能采集嵌入式微服务组件集成策略技术规范》（以下简称：《食源性疾病接口规范》）、《国家传染病智能监测预警前置软件数据集成和API接口规范》（以下简称：《传染病监测系统接口规范》）及《陕西省医疗保障信息平台定点医药机构医保药品耗材追溯信息采集工作接口规范》（以下简称：《追溯码信息采集系统接口规范》）。  </w:t>
      </w:r>
    </w:p>
    <w:p w14:paraId="082FC2F0">
      <w:pPr>
        <w:pStyle w:val="3"/>
        <w:spacing w:line="336"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2.1.1.2采用标准化代码体系，如 ICD-10 诊断编码、疾病分类代码、药品编码、医疗机构代码等，确保与国家及省级平台数据互通。  </w:t>
      </w:r>
    </w:p>
    <w:p w14:paraId="2B561C46">
      <w:pPr>
        <w:pStyle w:val="3"/>
        <w:spacing w:line="336"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2.1.1.3支持数据加密传输，符合《个人信息保护法》及医疗数据安全标准。</w:t>
      </w:r>
    </w:p>
    <w:p w14:paraId="21876DEB">
      <w:pPr>
        <w:pStyle w:val="3"/>
        <w:spacing w:line="336"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2.1.2 系统兼容性  </w:t>
      </w:r>
    </w:p>
    <w:p w14:paraId="63908498">
      <w:pPr>
        <w:pStyle w:val="3"/>
        <w:spacing w:line="336"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2.1.2.1兼容医院现有HIS系统，支持与嵌入式微服务组件无缝集成，实现诊断触发、数据填报、审核上报等功能。  </w:t>
      </w:r>
    </w:p>
    <w:p w14:paraId="3A3BAC36">
      <w:pPr>
        <w:pStyle w:val="3"/>
        <w:spacing w:line="336"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2.1.2.2预留国家 / 省级平台规则升级接口，如新增传染病病种（需支持动态扩展diseaseCode）、调整校验规则时，确保 HIS 系统无需重构，仅通过配置文件更新实现兼容。</w:t>
      </w:r>
    </w:p>
    <w:p w14:paraId="1E4A6A29">
      <w:pPr>
        <w:pStyle w:val="3"/>
        <w:spacing w:line="336"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2.1.2.3支持与第三方系统（如 LIS、PACS）的松散耦合集成，通过标准化中间件实现检验报告、影像数据的按需同步。</w:t>
      </w:r>
    </w:p>
    <w:p w14:paraId="27D778DE">
      <w:pPr>
        <w:pStyle w:val="3"/>
        <w:spacing w:line="336"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2.2数据采集与传输要求</w:t>
      </w:r>
    </w:p>
    <w:p w14:paraId="1044AB8D">
      <w:pPr>
        <w:pStyle w:val="3"/>
        <w:spacing w:line="336"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2.2.1. 数据采集范围</w:t>
      </w:r>
    </w:p>
    <w:p w14:paraId="3575FDF7">
      <w:pPr>
        <w:pStyle w:val="3"/>
        <w:adjustRightInd w:val="0"/>
        <w:spacing w:line="336"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2.2.1.1食源性疾病病例数据智能采集范围与国家传染病智能监测预警前置软件数据采集范围必需指标：  </w:t>
      </w:r>
    </w:p>
    <w:p w14:paraId="0A9CB9FC">
      <w:pPr>
        <w:pStyle w:val="3"/>
        <w:numPr>
          <w:ilvl w:val="0"/>
          <w:numId w:val="0"/>
        </w:numPr>
        <w:adjustRightInd w:val="0"/>
        <w:spacing w:line="336" w:lineRule="auto"/>
        <w:ind w:firstLine="420" w:firstLineChars="200"/>
        <w:rPr>
          <w:rFonts w:hint="eastAsia" w:ascii="仿宋" w:hAnsi="仿宋" w:eastAsia="仿宋" w:cs="仿宋"/>
          <w:color w:val="auto"/>
          <w:sz w:val="21"/>
          <w:szCs w:val="21"/>
          <w:highlight w:val="none"/>
        </w:rPr>
      </w:pPr>
      <w:r>
        <w:rPr>
          <w:rFonts w:hint="default" w:ascii="Wingdings" w:hAnsi="Wingdings" w:eastAsia="仿宋" w:cs="仿宋"/>
          <w:color w:val="auto"/>
          <w:kern w:val="2"/>
          <w:sz w:val="21"/>
          <w:szCs w:val="21"/>
          <w:lang w:val="en-US" w:eastAsia="zh-CN" w:bidi="ar-SA"/>
        </w:rPr>
        <w:t></w:t>
      </w:r>
      <w:r>
        <w:rPr>
          <w:rFonts w:hint="eastAsia" w:ascii="仿宋" w:hAnsi="仿宋" w:eastAsia="仿宋" w:cs="仿宋"/>
          <w:color w:val="auto"/>
          <w:sz w:val="21"/>
          <w:szCs w:val="21"/>
          <w:highlight w:val="none"/>
        </w:rPr>
        <w:t xml:space="preserve">患者基本信息（姓名、性别、身份证号、出生日期、联系方式等）。  </w:t>
      </w:r>
    </w:p>
    <w:p w14:paraId="3997B670">
      <w:pPr>
        <w:pStyle w:val="3"/>
        <w:numPr>
          <w:ilvl w:val="0"/>
          <w:numId w:val="0"/>
        </w:numPr>
        <w:adjustRightInd w:val="0"/>
        <w:spacing w:line="336" w:lineRule="auto"/>
        <w:ind w:firstLine="420" w:firstLineChars="200"/>
        <w:rPr>
          <w:rFonts w:hint="eastAsia" w:ascii="仿宋" w:hAnsi="仿宋" w:eastAsia="仿宋" w:cs="仿宋"/>
          <w:color w:val="auto"/>
          <w:sz w:val="21"/>
          <w:szCs w:val="21"/>
          <w:highlight w:val="none"/>
        </w:rPr>
      </w:pPr>
      <w:r>
        <w:rPr>
          <w:rFonts w:hint="default" w:ascii="Wingdings" w:hAnsi="Wingdings" w:eastAsia="仿宋" w:cs="仿宋"/>
          <w:color w:val="auto"/>
          <w:kern w:val="2"/>
          <w:sz w:val="21"/>
          <w:szCs w:val="21"/>
          <w:lang w:val="en-US" w:eastAsia="zh-CN" w:bidi="ar-SA"/>
        </w:rPr>
        <w:t></w:t>
      </w:r>
      <w:r>
        <w:rPr>
          <w:rFonts w:hint="eastAsia" w:ascii="仿宋" w:hAnsi="仿宋" w:eastAsia="仿宋" w:cs="仿宋"/>
          <w:color w:val="auto"/>
          <w:sz w:val="21"/>
          <w:szCs w:val="21"/>
          <w:highlight w:val="none"/>
        </w:rPr>
        <w:t xml:space="preserve">诊疗活动信息（发病时间、就诊时间、诊断结论、职业、医疗机构代码等）。  </w:t>
      </w:r>
    </w:p>
    <w:p w14:paraId="0C3EC1E1">
      <w:pPr>
        <w:pStyle w:val="3"/>
        <w:numPr>
          <w:ilvl w:val="0"/>
          <w:numId w:val="0"/>
        </w:numPr>
        <w:adjustRightInd w:val="0"/>
        <w:spacing w:line="336" w:lineRule="auto"/>
        <w:ind w:firstLine="420" w:firstLineChars="200"/>
        <w:rPr>
          <w:rFonts w:hint="eastAsia" w:ascii="仿宋" w:hAnsi="仿宋" w:eastAsia="仿宋" w:cs="仿宋"/>
          <w:color w:val="auto"/>
          <w:sz w:val="21"/>
          <w:szCs w:val="21"/>
          <w:highlight w:val="none"/>
        </w:rPr>
      </w:pPr>
      <w:r>
        <w:rPr>
          <w:rFonts w:hint="default" w:ascii="Wingdings" w:hAnsi="Wingdings" w:eastAsia="仿宋" w:cs="仿宋"/>
          <w:color w:val="auto"/>
          <w:kern w:val="2"/>
          <w:sz w:val="21"/>
          <w:szCs w:val="21"/>
          <w:lang w:val="en-US" w:eastAsia="zh-CN" w:bidi="ar-SA"/>
        </w:rPr>
        <w:t></w:t>
      </w:r>
      <w:r>
        <w:rPr>
          <w:rFonts w:hint="eastAsia" w:ascii="仿宋" w:hAnsi="仿宋" w:eastAsia="仿宋" w:cs="仿宋"/>
          <w:color w:val="auto"/>
          <w:sz w:val="21"/>
          <w:szCs w:val="21"/>
          <w:highlight w:val="none"/>
        </w:rPr>
        <w:t xml:space="preserve">传染病报告卡数据（疾病诊断代码、病例分类、发病日期等，需符合文档2中“传染病报告卡emr_inf_report”表结构）。  </w:t>
      </w:r>
    </w:p>
    <w:p w14:paraId="5EA08A63">
      <w:pPr>
        <w:pStyle w:val="3"/>
        <w:numPr>
          <w:ilvl w:val="0"/>
          <w:numId w:val="0"/>
        </w:numPr>
        <w:adjustRightInd w:val="0"/>
        <w:spacing w:line="336" w:lineRule="auto"/>
        <w:ind w:firstLine="420" w:firstLineChars="200"/>
        <w:rPr>
          <w:rFonts w:hint="eastAsia" w:ascii="仿宋" w:hAnsi="仿宋" w:eastAsia="仿宋" w:cs="仿宋"/>
          <w:color w:val="auto"/>
          <w:sz w:val="21"/>
          <w:szCs w:val="21"/>
          <w:highlight w:val="none"/>
        </w:rPr>
      </w:pPr>
      <w:r>
        <w:rPr>
          <w:rFonts w:hint="default" w:ascii="Wingdings" w:hAnsi="Wingdings" w:eastAsia="仿宋" w:cs="仿宋"/>
          <w:color w:val="auto"/>
          <w:kern w:val="2"/>
          <w:sz w:val="21"/>
          <w:szCs w:val="21"/>
          <w:lang w:val="en-US" w:eastAsia="zh-CN" w:bidi="ar-SA"/>
        </w:rPr>
        <w:t></w:t>
      </w:r>
      <w:r>
        <w:rPr>
          <w:rFonts w:hint="eastAsia" w:ascii="仿宋" w:hAnsi="仿宋" w:eastAsia="仿宋" w:cs="仿宋"/>
          <w:color w:val="auto"/>
          <w:sz w:val="21"/>
          <w:szCs w:val="21"/>
          <w:highlight w:val="none"/>
        </w:rPr>
        <w:t xml:space="preserve">实验室检验结果（如血常规、病原体检测，传染病监测预警系统要求的检验项目）。  </w:t>
      </w:r>
    </w:p>
    <w:p w14:paraId="4FE9D3E7">
      <w:pPr>
        <w:pStyle w:val="3"/>
        <w:numPr>
          <w:ilvl w:val="0"/>
          <w:numId w:val="0"/>
        </w:numPr>
        <w:adjustRightInd w:val="0"/>
        <w:spacing w:line="336" w:lineRule="auto"/>
        <w:ind w:firstLine="420" w:firstLineChars="200"/>
        <w:rPr>
          <w:rFonts w:hint="eastAsia" w:ascii="仿宋" w:hAnsi="仿宋" w:eastAsia="仿宋" w:cs="仿宋"/>
          <w:color w:val="auto"/>
          <w:sz w:val="21"/>
          <w:szCs w:val="21"/>
          <w:highlight w:val="none"/>
        </w:rPr>
      </w:pPr>
      <w:r>
        <w:rPr>
          <w:rFonts w:hint="default" w:ascii="Wingdings" w:hAnsi="Wingdings" w:eastAsia="仿宋" w:cs="仿宋"/>
          <w:color w:val="auto"/>
          <w:kern w:val="2"/>
          <w:sz w:val="21"/>
          <w:szCs w:val="21"/>
          <w:lang w:val="en-US" w:eastAsia="zh-CN" w:bidi="ar-SA"/>
        </w:rPr>
        <w:t></w:t>
      </w:r>
      <w:r>
        <w:rPr>
          <w:rFonts w:hint="eastAsia" w:ascii="仿宋" w:hAnsi="仿宋" w:eastAsia="仿宋" w:cs="仿宋"/>
          <w:color w:val="auto"/>
          <w:sz w:val="21"/>
          <w:szCs w:val="21"/>
          <w:highlight w:val="none"/>
        </w:rPr>
        <w:t xml:space="preserve">查看/修改病例接口、病例与标本待办数量查询、医院留存信息查询（如病例、标本、每月汇总数据）。  </w:t>
      </w:r>
    </w:p>
    <w:p w14:paraId="587319E3">
      <w:pPr>
        <w:pStyle w:val="3"/>
        <w:adjustRightInd w:val="0"/>
        <w:spacing w:line="336"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2.2.1.2陕西省医疗保障信息平台定点医药机构医保药品耗材追溯信息采集范围必需指标：  </w:t>
      </w:r>
    </w:p>
    <w:p w14:paraId="52B4F28E">
      <w:pPr>
        <w:pStyle w:val="3"/>
        <w:numPr>
          <w:ilvl w:val="0"/>
          <w:numId w:val="0"/>
        </w:numPr>
        <w:adjustRightInd w:val="0"/>
        <w:spacing w:line="336" w:lineRule="auto"/>
        <w:ind w:firstLine="420" w:firstLineChars="200"/>
        <w:rPr>
          <w:rFonts w:hint="eastAsia" w:ascii="仿宋" w:hAnsi="仿宋" w:eastAsia="仿宋" w:cs="仿宋"/>
          <w:color w:val="auto"/>
          <w:sz w:val="21"/>
          <w:szCs w:val="21"/>
          <w:highlight w:val="none"/>
        </w:rPr>
      </w:pPr>
      <w:r>
        <w:rPr>
          <w:rFonts w:hint="default" w:ascii="Wingdings" w:hAnsi="Wingdings" w:eastAsia="仿宋" w:cs="仿宋"/>
          <w:color w:val="auto"/>
          <w:kern w:val="2"/>
          <w:sz w:val="21"/>
          <w:szCs w:val="21"/>
          <w:lang w:val="en-US" w:eastAsia="zh-CN" w:bidi="ar-SA"/>
        </w:rPr>
        <w:t></w:t>
      </w:r>
      <w:r>
        <w:rPr>
          <w:rFonts w:hint="eastAsia" w:ascii="仿宋" w:hAnsi="仿宋" w:eastAsia="仿宋" w:cs="仿宋"/>
          <w:color w:val="auto"/>
          <w:sz w:val="21"/>
          <w:szCs w:val="21"/>
          <w:highlight w:val="none"/>
        </w:rPr>
        <w:t xml:space="preserve">药品耗材信息（编码、名称、规格、价格、库存等，需符合陕西省医保平台规范）。  </w:t>
      </w:r>
    </w:p>
    <w:p w14:paraId="02CA0A4E">
      <w:pPr>
        <w:pStyle w:val="3"/>
        <w:numPr>
          <w:ilvl w:val="0"/>
          <w:numId w:val="0"/>
        </w:numPr>
        <w:adjustRightInd w:val="0"/>
        <w:spacing w:line="336" w:lineRule="auto"/>
        <w:ind w:firstLine="420" w:firstLineChars="200"/>
        <w:rPr>
          <w:rFonts w:hint="eastAsia" w:ascii="仿宋" w:hAnsi="仿宋" w:eastAsia="仿宋" w:cs="仿宋"/>
          <w:color w:val="auto"/>
          <w:sz w:val="21"/>
          <w:szCs w:val="21"/>
          <w:highlight w:val="none"/>
        </w:rPr>
      </w:pPr>
      <w:r>
        <w:rPr>
          <w:rFonts w:hint="default" w:ascii="Wingdings" w:hAnsi="Wingdings" w:eastAsia="仿宋" w:cs="仿宋"/>
          <w:color w:val="auto"/>
          <w:kern w:val="2"/>
          <w:sz w:val="21"/>
          <w:szCs w:val="21"/>
          <w:lang w:val="en-US" w:eastAsia="zh-CN" w:bidi="ar-SA"/>
        </w:rPr>
        <w:t></w:t>
      </w:r>
      <w:r>
        <w:rPr>
          <w:rFonts w:hint="eastAsia" w:ascii="仿宋" w:hAnsi="仿宋" w:eastAsia="仿宋" w:cs="仿宋"/>
          <w:color w:val="auto"/>
          <w:sz w:val="21"/>
          <w:szCs w:val="21"/>
          <w:highlight w:val="none"/>
        </w:rPr>
        <w:t>住院/门诊费用结算数据，支持与医保平台实时同步。</w:t>
      </w:r>
    </w:p>
    <w:p w14:paraId="1BFA0836">
      <w:pPr>
        <w:pStyle w:val="3"/>
        <w:adjustRightInd w:val="0"/>
        <w:spacing w:line="336"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2.2.2 数据格式与传输方式  </w:t>
      </w:r>
    </w:p>
    <w:p w14:paraId="2787E867">
      <w:pPr>
        <w:pStyle w:val="3"/>
        <w:adjustRightInd w:val="0"/>
        <w:spacing w:line="336" w:lineRule="auto"/>
        <w:ind w:left="0"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格式：</w:t>
      </w:r>
    </w:p>
    <w:p w14:paraId="6219CA19">
      <w:pPr>
        <w:pStyle w:val="3"/>
        <w:numPr>
          <w:ilvl w:val="0"/>
          <w:numId w:val="0"/>
        </w:numPr>
        <w:adjustRightInd w:val="0"/>
        <w:spacing w:line="336" w:lineRule="auto"/>
        <w:ind w:firstLine="420" w:firstLineChars="200"/>
        <w:rPr>
          <w:rFonts w:hint="eastAsia" w:ascii="仿宋" w:hAnsi="仿宋" w:eastAsia="仿宋" w:cs="仿宋"/>
          <w:color w:val="auto"/>
          <w:sz w:val="21"/>
          <w:szCs w:val="21"/>
          <w:highlight w:val="none"/>
        </w:rPr>
      </w:pPr>
      <w:r>
        <w:rPr>
          <w:rFonts w:hint="default" w:ascii="Wingdings" w:hAnsi="Wingdings" w:eastAsia="仿宋" w:cs="仿宋"/>
          <w:color w:val="auto"/>
          <w:kern w:val="2"/>
          <w:sz w:val="21"/>
          <w:szCs w:val="21"/>
          <w:lang w:val="en-US" w:eastAsia="zh-CN" w:bidi="ar-SA"/>
        </w:rPr>
        <w:t></w:t>
      </w:r>
      <w:r>
        <w:rPr>
          <w:rFonts w:hint="eastAsia" w:ascii="仿宋" w:hAnsi="仿宋" w:eastAsia="仿宋" w:cs="仿宋"/>
          <w:color w:val="auto"/>
          <w:sz w:val="21"/>
          <w:szCs w:val="21"/>
          <w:highlight w:val="none"/>
        </w:rPr>
        <w:t xml:space="preserve">采用JSON格式，字符集为UTF-8，符合文档1、2中的参数示例（如诊断结论判断接口参数、传值字段）。  </w:t>
      </w:r>
    </w:p>
    <w:p w14:paraId="126B00B2">
      <w:pPr>
        <w:pStyle w:val="3"/>
        <w:adjustRightInd w:val="0"/>
        <w:spacing w:line="336" w:lineRule="auto"/>
        <w:ind w:left="0"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方式：  </w:t>
      </w:r>
    </w:p>
    <w:p w14:paraId="2E065773">
      <w:pPr>
        <w:pStyle w:val="3"/>
        <w:numPr>
          <w:ilvl w:val="0"/>
          <w:numId w:val="0"/>
        </w:numPr>
        <w:adjustRightInd w:val="0"/>
        <w:spacing w:line="336" w:lineRule="auto"/>
        <w:ind w:firstLine="420" w:firstLineChars="200"/>
        <w:rPr>
          <w:rFonts w:hint="eastAsia" w:ascii="仿宋" w:hAnsi="仿宋" w:eastAsia="仿宋" w:cs="仿宋"/>
          <w:color w:val="auto"/>
          <w:sz w:val="21"/>
          <w:szCs w:val="21"/>
          <w:highlight w:val="none"/>
        </w:rPr>
      </w:pPr>
      <w:r>
        <w:rPr>
          <w:rFonts w:hint="default" w:ascii="Wingdings" w:hAnsi="Wingdings" w:eastAsia="仿宋" w:cs="仿宋"/>
          <w:color w:val="auto"/>
          <w:kern w:val="2"/>
          <w:sz w:val="21"/>
          <w:szCs w:val="21"/>
          <w:lang w:val="en-US" w:eastAsia="zh-CN" w:bidi="ar-SA"/>
        </w:rPr>
        <w:t></w:t>
      </w:r>
      <w:r>
        <w:rPr>
          <w:rFonts w:hint="eastAsia" w:ascii="仿宋" w:hAnsi="仿宋" w:eastAsia="仿宋" w:cs="仿宋"/>
          <w:color w:val="auto"/>
          <w:sz w:val="21"/>
          <w:szCs w:val="21"/>
          <w:highlight w:val="none"/>
        </w:rPr>
        <w:t xml:space="preserve">实时同步：诊疗活动、传染病报告卡等关键数据需实时触发传输（如文档2中“医院信息系统保存数据后实时同步”）。  </w:t>
      </w:r>
    </w:p>
    <w:p w14:paraId="4455A5C0">
      <w:pPr>
        <w:pStyle w:val="3"/>
        <w:numPr>
          <w:ilvl w:val="0"/>
          <w:numId w:val="0"/>
        </w:numPr>
        <w:adjustRightInd w:val="0"/>
        <w:spacing w:line="336" w:lineRule="auto"/>
        <w:ind w:firstLine="420" w:firstLineChars="200"/>
        <w:rPr>
          <w:rFonts w:hint="eastAsia" w:ascii="仿宋" w:hAnsi="仿宋" w:eastAsia="仿宋" w:cs="仿宋"/>
          <w:color w:val="auto"/>
          <w:sz w:val="21"/>
          <w:szCs w:val="21"/>
          <w:highlight w:val="none"/>
        </w:rPr>
      </w:pPr>
      <w:r>
        <w:rPr>
          <w:rFonts w:hint="default" w:ascii="Wingdings" w:hAnsi="Wingdings" w:eastAsia="仿宋" w:cs="仿宋"/>
          <w:color w:val="auto"/>
          <w:kern w:val="2"/>
          <w:sz w:val="21"/>
          <w:szCs w:val="21"/>
          <w:lang w:val="en-US" w:eastAsia="zh-CN" w:bidi="ar-SA"/>
        </w:rPr>
        <w:t></w:t>
      </w:r>
      <w:r>
        <w:rPr>
          <w:rFonts w:hint="eastAsia" w:ascii="仿宋" w:hAnsi="仿宋" w:eastAsia="仿宋" w:cs="仿宋"/>
          <w:color w:val="auto"/>
          <w:sz w:val="21"/>
          <w:szCs w:val="21"/>
          <w:highlight w:val="none"/>
        </w:rPr>
        <w:t xml:space="preserve">定时同步：常规监测数据（如门急诊病历、住院记录）每日24点前同步（T+0）。  </w:t>
      </w:r>
    </w:p>
    <w:p w14:paraId="24C4A1D3">
      <w:pPr>
        <w:pStyle w:val="3"/>
        <w:numPr>
          <w:ilvl w:val="0"/>
          <w:numId w:val="0"/>
        </w:numPr>
        <w:adjustRightInd w:val="0"/>
        <w:spacing w:line="336" w:lineRule="auto"/>
        <w:ind w:firstLine="420" w:firstLineChars="200"/>
        <w:rPr>
          <w:rFonts w:hint="eastAsia" w:ascii="仿宋" w:hAnsi="仿宋" w:eastAsia="仿宋" w:cs="仿宋"/>
          <w:color w:val="auto"/>
          <w:sz w:val="21"/>
          <w:szCs w:val="21"/>
          <w:highlight w:val="none"/>
        </w:rPr>
      </w:pPr>
      <w:r>
        <w:rPr>
          <w:rFonts w:hint="default" w:ascii="Wingdings" w:hAnsi="Wingdings" w:eastAsia="仿宋" w:cs="仿宋"/>
          <w:color w:val="auto"/>
          <w:kern w:val="2"/>
          <w:sz w:val="21"/>
          <w:szCs w:val="21"/>
          <w:lang w:val="en-US" w:eastAsia="zh-CN" w:bidi="ar-SA"/>
        </w:rPr>
        <w:t></w:t>
      </w:r>
      <w:r>
        <w:rPr>
          <w:rFonts w:hint="eastAsia" w:ascii="仿宋" w:hAnsi="仿宋" w:eastAsia="仿宋" w:cs="仿宋"/>
          <w:color w:val="auto"/>
          <w:sz w:val="21"/>
          <w:szCs w:val="21"/>
          <w:highlight w:val="none"/>
        </w:rPr>
        <w:t>接口协议：HTTP/HTTPS，支持POST、GET、DELETE等请求方法，如文档2中“数据操作API接口”的请求类型。</w:t>
      </w:r>
    </w:p>
    <w:p w14:paraId="2680E4C9">
      <w:pPr>
        <w:pStyle w:val="3"/>
        <w:adjustRightInd w:val="0"/>
        <w:spacing w:line="336"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2.2.3 数据校验与质量  </w:t>
      </w:r>
    </w:p>
    <w:p w14:paraId="39D5B149">
      <w:pPr>
        <w:pStyle w:val="3"/>
        <w:numPr>
          <w:ilvl w:val="0"/>
          <w:numId w:val="0"/>
        </w:numPr>
        <w:adjustRightInd w:val="0"/>
        <w:spacing w:line="336" w:lineRule="auto"/>
        <w:ind w:firstLine="420" w:firstLineChars="200"/>
        <w:rPr>
          <w:rFonts w:hint="eastAsia" w:ascii="仿宋" w:hAnsi="仿宋" w:eastAsia="仿宋" w:cs="仿宋"/>
          <w:color w:val="auto"/>
          <w:sz w:val="21"/>
          <w:szCs w:val="21"/>
          <w:highlight w:val="none"/>
        </w:rPr>
      </w:pPr>
      <w:r>
        <w:rPr>
          <w:rFonts w:hint="default" w:ascii="Wingdings" w:hAnsi="Wingdings" w:eastAsia="仿宋" w:cs="仿宋"/>
          <w:color w:val="auto"/>
          <w:kern w:val="2"/>
          <w:sz w:val="21"/>
          <w:szCs w:val="21"/>
          <w:lang w:val="en-US" w:eastAsia="zh-CN" w:bidi="ar-SA"/>
        </w:rPr>
        <w:t></w:t>
      </w:r>
      <w:r>
        <w:rPr>
          <w:rFonts w:hint="eastAsia" w:ascii="仿宋" w:hAnsi="仿宋" w:eastAsia="仿宋" w:cs="仿宋"/>
          <w:color w:val="auto"/>
          <w:sz w:val="21"/>
          <w:szCs w:val="21"/>
          <w:highlight w:val="none"/>
        </w:rPr>
        <w:t>必填字段校验：重要字段（如发病时间、患者姓名、性别等）缺失则拒绝接收并返回错误信息。</w:t>
      </w:r>
    </w:p>
    <w:p w14:paraId="55FF152F">
      <w:pPr>
        <w:pStyle w:val="3"/>
        <w:numPr>
          <w:ilvl w:val="0"/>
          <w:numId w:val="0"/>
        </w:numPr>
        <w:adjustRightInd w:val="0"/>
        <w:spacing w:line="336" w:lineRule="auto"/>
        <w:ind w:firstLine="420" w:firstLineChars="200"/>
        <w:rPr>
          <w:rFonts w:hint="eastAsia" w:ascii="仿宋" w:hAnsi="仿宋" w:eastAsia="仿宋" w:cs="仿宋"/>
          <w:color w:val="auto"/>
          <w:sz w:val="21"/>
          <w:szCs w:val="21"/>
          <w:highlight w:val="none"/>
        </w:rPr>
      </w:pPr>
      <w:r>
        <w:rPr>
          <w:rFonts w:hint="default" w:ascii="Wingdings" w:hAnsi="Wingdings" w:eastAsia="仿宋" w:cs="仿宋"/>
          <w:color w:val="auto"/>
          <w:kern w:val="2"/>
          <w:sz w:val="21"/>
          <w:szCs w:val="21"/>
          <w:lang w:val="en-US" w:eastAsia="zh-CN" w:bidi="ar-SA"/>
        </w:rPr>
        <w:t></w:t>
      </w:r>
      <w:r>
        <w:rPr>
          <w:rFonts w:hint="eastAsia" w:ascii="仿宋" w:hAnsi="仿宋" w:eastAsia="仿宋" w:cs="仿宋"/>
          <w:color w:val="auto"/>
          <w:sz w:val="21"/>
          <w:szCs w:val="21"/>
          <w:highlight w:val="none"/>
        </w:rPr>
        <w:t>值域校验：使用《规范》的“值域代码表”（如性别代码、民族代码、病例分类代码等），确保代码与名称映射一致。</w:t>
      </w:r>
    </w:p>
    <w:p w14:paraId="35DC99D8">
      <w:pPr>
        <w:pStyle w:val="3"/>
        <w:numPr>
          <w:ilvl w:val="0"/>
          <w:numId w:val="0"/>
        </w:numPr>
        <w:adjustRightInd w:val="0"/>
        <w:spacing w:line="336" w:lineRule="auto"/>
        <w:ind w:firstLine="420" w:firstLineChars="200"/>
        <w:rPr>
          <w:rFonts w:hint="eastAsia" w:ascii="仿宋" w:hAnsi="仿宋" w:eastAsia="仿宋" w:cs="仿宋"/>
          <w:color w:val="auto"/>
          <w:sz w:val="21"/>
          <w:szCs w:val="21"/>
          <w:highlight w:val="none"/>
        </w:rPr>
      </w:pPr>
      <w:r>
        <w:rPr>
          <w:rFonts w:hint="default" w:ascii="Wingdings" w:hAnsi="Wingdings" w:eastAsia="仿宋" w:cs="仿宋"/>
          <w:color w:val="auto"/>
          <w:kern w:val="2"/>
          <w:sz w:val="21"/>
          <w:szCs w:val="21"/>
          <w:lang w:val="en-US" w:eastAsia="zh-CN" w:bidi="ar-SA"/>
        </w:rPr>
        <w:t></w:t>
      </w:r>
      <w:r>
        <w:rPr>
          <w:rFonts w:hint="eastAsia" w:ascii="仿宋" w:hAnsi="仿宋" w:eastAsia="仿宋" w:cs="仿宋"/>
          <w:color w:val="auto"/>
          <w:sz w:val="21"/>
          <w:szCs w:val="21"/>
          <w:highlight w:val="none"/>
        </w:rPr>
        <w:t>数据一致性：确保HIS系统与前置软件、国家/省级平台的数据一致性，支持重复数据去重和冲突处理。</w:t>
      </w:r>
    </w:p>
    <w:p w14:paraId="6B06D147">
      <w:pPr>
        <w:pStyle w:val="3"/>
        <w:adjustRightInd w:val="0"/>
        <w:spacing w:line="336"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2.2.4接口功能要求</w:t>
      </w:r>
    </w:p>
    <w:p w14:paraId="7F977A83">
      <w:pPr>
        <w:pStyle w:val="3"/>
        <w:numPr>
          <w:ilvl w:val="0"/>
          <w:numId w:val="0"/>
        </w:numPr>
        <w:adjustRightInd w:val="0"/>
        <w:spacing w:line="336" w:lineRule="auto"/>
        <w:ind w:firstLine="420" w:firstLineChars="200"/>
        <w:rPr>
          <w:rFonts w:hint="eastAsia" w:ascii="仿宋" w:hAnsi="仿宋" w:eastAsia="仿宋" w:cs="仿宋"/>
          <w:color w:val="auto"/>
          <w:sz w:val="21"/>
          <w:szCs w:val="21"/>
          <w:highlight w:val="none"/>
        </w:rPr>
      </w:pPr>
      <w:r>
        <w:rPr>
          <w:rFonts w:hint="default" w:ascii="Wingdings" w:hAnsi="Wingdings" w:eastAsia="仿宋" w:cs="仿宋"/>
          <w:color w:val="auto"/>
          <w:kern w:val="2"/>
          <w:sz w:val="21"/>
          <w:szCs w:val="21"/>
          <w:lang w:val="en-US" w:eastAsia="zh-CN" w:bidi="ar-SA"/>
        </w:rPr>
        <w:t></w:t>
      </w:r>
      <w:r>
        <w:rPr>
          <w:rFonts w:hint="eastAsia" w:ascii="仿宋" w:hAnsi="仿宋" w:eastAsia="仿宋" w:cs="仿宋"/>
          <w:color w:val="auto"/>
          <w:sz w:val="21"/>
          <w:szCs w:val="21"/>
          <w:highlight w:val="none"/>
        </w:rPr>
        <w:t>食源性疾病数据接口：实现对食源性疾病病例信息的规范上报，保证食源性疾病报告的时效性、可靠性和准确性。</w:t>
      </w:r>
    </w:p>
    <w:p w14:paraId="7143FF2E">
      <w:pPr>
        <w:pStyle w:val="3"/>
        <w:numPr>
          <w:ilvl w:val="0"/>
          <w:numId w:val="0"/>
        </w:numPr>
        <w:adjustRightInd w:val="0"/>
        <w:spacing w:line="336" w:lineRule="auto"/>
        <w:ind w:firstLine="420" w:firstLineChars="200"/>
        <w:rPr>
          <w:rFonts w:hint="eastAsia" w:ascii="仿宋" w:hAnsi="仿宋" w:eastAsia="仿宋" w:cs="仿宋"/>
          <w:color w:val="auto"/>
          <w:sz w:val="21"/>
          <w:szCs w:val="21"/>
          <w:highlight w:val="none"/>
        </w:rPr>
      </w:pPr>
      <w:r>
        <w:rPr>
          <w:rFonts w:hint="default" w:ascii="Wingdings" w:hAnsi="Wingdings" w:eastAsia="仿宋" w:cs="仿宋"/>
          <w:color w:val="auto"/>
          <w:kern w:val="2"/>
          <w:sz w:val="21"/>
          <w:szCs w:val="21"/>
          <w:lang w:val="en-US" w:eastAsia="zh-CN" w:bidi="ar-SA"/>
        </w:rPr>
        <w:t></w:t>
      </w:r>
      <w:r>
        <w:rPr>
          <w:rFonts w:hint="eastAsia" w:ascii="仿宋" w:hAnsi="仿宋" w:eastAsia="仿宋" w:cs="仿宋"/>
          <w:color w:val="auto"/>
          <w:sz w:val="21"/>
          <w:szCs w:val="21"/>
          <w:highlight w:val="none"/>
        </w:rPr>
        <w:t>传染病监测预警接口：实现医院信息系统电子病历（EMR）数据与国家传染病智能监测预警前置软件的数据同步与交互应用。</w:t>
      </w:r>
    </w:p>
    <w:p w14:paraId="58A170D6">
      <w:pPr>
        <w:pStyle w:val="3"/>
        <w:numPr>
          <w:ilvl w:val="0"/>
          <w:numId w:val="0"/>
        </w:numPr>
        <w:adjustRightInd w:val="0"/>
        <w:spacing w:line="336" w:lineRule="auto"/>
        <w:ind w:firstLine="420" w:firstLineChars="200"/>
        <w:rPr>
          <w:rFonts w:hint="eastAsia" w:ascii="仿宋" w:hAnsi="仿宋" w:eastAsia="仿宋" w:cs="仿宋"/>
          <w:color w:val="auto"/>
          <w:sz w:val="21"/>
          <w:szCs w:val="21"/>
          <w:highlight w:val="none"/>
        </w:rPr>
      </w:pPr>
      <w:r>
        <w:rPr>
          <w:rFonts w:hint="default" w:ascii="Wingdings" w:hAnsi="Wingdings" w:eastAsia="仿宋" w:cs="仿宋"/>
          <w:color w:val="auto"/>
          <w:kern w:val="2"/>
          <w:sz w:val="21"/>
          <w:szCs w:val="21"/>
          <w:lang w:val="en-US" w:eastAsia="zh-CN" w:bidi="ar-SA"/>
        </w:rPr>
        <w:t></w:t>
      </w:r>
      <w:r>
        <w:rPr>
          <w:rFonts w:hint="eastAsia" w:ascii="仿宋" w:hAnsi="仿宋" w:eastAsia="仿宋" w:cs="仿宋"/>
          <w:color w:val="auto"/>
          <w:sz w:val="21"/>
          <w:szCs w:val="21"/>
          <w:highlight w:val="none"/>
        </w:rPr>
        <w:t>医保药品耗材追溯接口：实现医保药品耗材追溯码与医保结算服务的无缝对接，支持药品耗材全生命周期的精准监管。</w:t>
      </w:r>
    </w:p>
    <w:p w14:paraId="44729596">
      <w:pPr>
        <w:pStyle w:val="3"/>
        <w:numPr>
          <w:ilvl w:val="0"/>
          <w:numId w:val="0"/>
        </w:numPr>
        <w:adjustRightInd w:val="0"/>
        <w:spacing w:line="336" w:lineRule="auto"/>
        <w:ind w:firstLine="420" w:firstLineChars="200"/>
        <w:rPr>
          <w:rFonts w:hint="eastAsia" w:ascii="仿宋" w:hAnsi="仿宋" w:eastAsia="仿宋" w:cs="仿宋"/>
          <w:color w:val="auto"/>
          <w:sz w:val="21"/>
          <w:szCs w:val="21"/>
          <w:highlight w:val="none"/>
        </w:rPr>
      </w:pPr>
      <w:r>
        <w:rPr>
          <w:rFonts w:hint="default" w:ascii="Wingdings" w:hAnsi="Wingdings" w:eastAsia="仿宋" w:cs="仿宋"/>
          <w:color w:val="auto"/>
          <w:kern w:val="2"/>
          <w:sz w:val="21"/>
          <w:szCs w:val="21"/>
          <w:lang w:val="en-US" w:eastAsia="zh-CN" w:bidi="ar-SA"/>
        </w:rPr>
        <w:t></w:t>
      </w:r>
      <w:r>
        <w:rPr>
          <w:rFonts w:hint="eastAsia" w:ascii="仿宋" w:hAnsi="仿宋" w:eastAsia="仿宋" w:cs="仿宋"/>
          <w:color w:val="auto"/>
          <w:sz w:val="21"/>
          <w:szCs w:val="21"/>
          <w:highlight w:val="none"/>
        </w:rPr>
        <w:t>数据采集触发机制：满足国家传染病前置软件数据采集触发时机，实现数据的实时采集和传输。</w:t>
      </w:r>
    </w:p>
    <w:p w14:paraId="7AE17F25">
      <w:pPr>
        <w:pStyle w:val="3"/>
        <w:adjustRightInd w:val="0"/>
        <w:spacing w:line="336"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2.2.5接口性能</w:t>
      </w:r>
    </w:p>
    <w:p w14:paraId="37D79E9C">
      <w:pPr>
        <w:pStyle w:val="3"/>
        <w:numPr>
          <w:ilvl w:val="0"/>
          <w:numId w:val="0"/>
        </w:numPr>
        <w:adjustRightInd w:val="0"/>
        <w:spacing w:line="336" w:lineRule="auto"/>
        <w:ind w:firstLine="420" w:firstLineChars="200"/>
        <w:rPr>
          <w:rFonts w:hint="eastAsia" w:ascii="仿宋" w:hAnsi="仿宋" w:eastAsia="仿宋" w:cs="仿宋"/>
          <w:color w:val="auto"/>
          <w:sz w:val="21"/>
          <w:szCs w:val="21"/>
          <w:highlight w:val="none"/>
        </w:rPr>
      </w:pPr>
      <w:r>
        <w:rPr>
          <w:rFonts w:hint="default" w:ascii="Wingdings" w:hAnsi="Wingdings" w:eastAsia="仿宋" w:cs="仿宋"/>
          <w:color w:val="auto"/>
          <w:kern w:val="2"/>
          <w:sz w:val="21"/>
          <w:szCs w:val="21"/>
          <w:lang w:val="en-US" w:eastAsia="zh-CN" w:bidi="ar-SA"/>
        </w:rPr>
        <w:t></w:t>
      </w:r>
      <w:r>
        <w:rPr>
          <w:rFonts w:hint="eastAsia" w:ascii="仿宋" w:hAnsi="仿宋" w:eastAsia="仿宋" w:cs="仿宋"/>
          <w:color w:val="auto"/>
          <w:sz w:val="21"/>
          <w:szCs w:val="21"/>
          <w:highlight w:val="none"/>
        </w:rPr>
        <w:t>响应时间：系统响应时间应满足业务需求，弹窗报卡应做到流畅、快捷。</w:t>
      </w:r>
    </w:p>
    <w:p w14:paraId="65EC9D5D">
      <w:pPr>
        <w:pStyle w:val="3"/>
        <w:numPr>
          <w:ilvl w:val="0"/>
          <w:numId w:val="0"/>
        </w:numPr>
        <w:adjustRightInd w:val="0"/>
        <w:spacing w:line="336" w:lineRule="auto"/>
        <w:ind w:firstLine="420" w:firstLineChars="200"/>
        <w:rPr>
          <w:rFonts w:hint="eastAsia" w:ascii="仿宋" w:hAnsi="仿宋" w:eastAsia="仿宋" w:cs="仿宋"/>
          <w:color w:val="auto"/>
          <w:sz w:val="21"/>
          <w:szCs w:val="21"/>
          <w:highlight w:val="none"/>
        </w:rPr>
      </w:pPr>
      <w:r>
        <w:rPr>
          <w:rFonts w:hint="default" w:ascii="Wingdings" w:hAnsi="Wingdings" w:eastAsia="仿宋" w:cs="仿宋"/>
          <w:color w:val="auto"/>
          <w:kern w:val="2"/>
          <w:sz w:val="21"/>
          <w:szCs w:val="21"/>
          <w:lang w:val="en-US" w:eastAsia="zh-CN" w:bidi="ar-SA"/>
        </w:rPr>
        <w:t></w:t>
      </w:r>
      <w:r>
        <w:rPr>
          <w:rFonts w:hint="eastAsia" w:ascii="仿宋" w:hAnsi="仿宋" w:eastAsia="仿宋" w:cs="仿宋"/>
          <w:color w:val="auto"/>
          <w:sz w:val="21"/>
          <w:szCs w:val="21"/>
          <w:highlight w:val="none"/>
        </w:rPr>
        <w:t>并发处理能力：系统应能处理高并发请求，确保在大量数据传输时的系统稳定性。</w:t>
      </w:r>
    </w:p>
    <w:p w14:paraId="415DD8B2">
      <w:pPr>
        <w:pStyle w:val="3"/>
        <w:numPr>
          <w:ilvl w:val="0"/>
          <w:numId w:val="0"/>
        </w:numPr>
        <w:adjustRightInd w:val="0"/>
        <w:spacing w:line="336" w:lineRule="auto"/>
        <w:ind w:firstLine="420" w:firstLineChars="200"/>
        <w:rPr>
          <w:rFonts w:hint="eastAsia" w:ascii="仿宋" w:hAnsi="仿宋" w:eastAsia="仿宋" w:cs="仿宋"/>
          <w:color w:val="auto"/>
          <w:sz w:val="21"/>
          <w:szCs w:val="21"/>
          <w:highlight w:val="none"/>
        </w:rPr>
      </w:pPr>
      <w:r>
        <w:rPr>
          <w:rFonts w:hint="default" w:ascii="Wingdings" w:hAnsi="Wingdings" w:eastAsia="仿宋" w:cs="仿宋"/>
          <w:color w:val="auto"/>
          <w:kern w:val="2"/>
          <w:sz w:val="21"/>
          <w:szCs w:val="21"/>
          <w:lang w:val="en-US" w:eastAsia="zh-CN" w:bidi="ar-SA"/>
        </w:rPr>
        <w:t></w:t>
      </w:r>
      <w:r>
        <w:rPr>
          <w:rFonts w:hint="eastAsia" w:ascii="仿宋" w:hAnsi="仿宋" w:eastAsia="仿宋" w:cs="仿宋"/>
          <w:color w:val="auto"/>
          <w:sz w:val="21"/>
          <w:szCs w:val="21"/>
          <w:highlight w:val="none"/>
        </w:rPr>
        <w:t>数据处理效率：支持批量数据处理，提高数据采集和传输效率。</w:t>
      </w:r>
    </w:p>
    <w:p w14:paraId="484EEB52">
      <w:pPr>
        <w:pStyle w:val="3"/>
        <w:adjustRightInd w:val="0"/>
        <w:spacing w:line="336"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2.3网络与安全要求</w:t>
      </w:r>
    </w:p>
    <w:p w14:paraId="16A68DA5">
      <w:pPr>
        <w:pStyle w:val="3"/>
        <w:adjustRightInd w:val="0"/>
        <w:spacing w:line="336"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2.3.1 网络部署  </w:t>
      </w:r>
    </w:p>
    <w:p w14:paraId="0E94B927">
      <w:pPr>
        <w:pStyle w:val="3"/>
        <w:numPr>
          <w:ilvl w:val="0"/>
          <w:numId w:val="0"/>
        </w:numPr>
        <w:adjustRightInd w:val="0"/>
        <w:spacing w:line="336" w:lineRule="auto"/>
        <w:ind w:firstLine="420" w:firstLineChars="200"/>
        <w:rPr>
          <w:rFonts w:hint="eastAsia" w:ascii="仿宋" w:hAnsi="仿宋" w:eastAsia="仿宋" w:cs="仿宋"/>
          <w:color w:val="auto"/>
          <w:sz w:val="21"/>
          <w:szCs w:val="21"/>
          <w:highlight w:val="none"/>
        </w:rPr>
      </w:pPr>
      <w:r>
        <w:rPr>
          <w:rFonts w:hint="default" w:ascii="Wingdings" w:hAnsi="Wingdings" w:eastAsia="仿宋" w:cs="仿宋"/>
          <w:color w:val="auto"/>
          <w:kern w:val="2"/>
          <w:sz w:val="21"/>
          <w:szCs w:val="21"/>
          <w:lang w:val="en-US" w:eastAsia="zh-CN" w:bidi="ar-SA"/>
        </w:rPr>
        <w:t></w:t>
      </w:r>
      <w:r>
        <w:rPr>
          <w:rFonts w:hint="eastAsia" w:ascii="仿宋" w:hAnsi="仿宋" w:eastAsia="仿宋" w:cs="仿宋"/>
          <w:color w:val="auto"/>
          <w:sz w:val="21"/>
          <w:szCs w:val="21"/>
          <w:highlight w:val="none"/>
        </w:rPr>
        <w:t xml:space="preserve">在医院前置机部署微服务组件，开放指定URL端口，确保与省级/国家平台网络连通。  </w:t>
      </w:r>
    </w:p>
    <w:p w14:paraId="7A8FC835">
      <w:pPr>
        <w:pStyle w:val="3"/>
        <w:numPr>
          <w:ilvl w:val="0"/>
          <w:numId w:val="0"/>
        </w:numPr>
        <w:adjustRightInd w:val="0"/>
        <w:spacing w:line="336" w:lineRule="auto"/>
        <w:ind w:firstLine="420" w:firstLineChars="200"/>
        <w:rPr>
          <w:rFonts w:hint="eastAsia" w:ascii="仿宋" w:hAnsi="仿宋" w:eastAsia="仿宋" w:cs="仿宋"/>
          <w:color w:val="auto"/>
          <w:sz w:val="21"/>
          <w:szCs w:val="21"/>
          <w:highlight w:val="none"/>
        </w:rPr>
      </w:pPr>
      <w:r>
        <w:rPr>
          <w:rFonts w:hint="default" w:ascii="Wingdings" w:hAnsi="Wingdings" w:eastAsia="仿宋" w:cs="仿宋"/>
          <w:color w:val="auto"/>
          <w:kern w:val="2"/>
          <w:sz w:val="21"/>
          <w:szCs w:val="21"/>
          <w:lang w:val="en-US" w:eastAsia="zh-CN" w:bidi="ar-SA"/>
        </w:rPr>
        <w:t></w:t>
      </w:r>
      <w:r>
        <w:rPr>
          <w:rFonts w:hint="eastAsia" w:ascii="仿宋" w:hAnsi="仿宋" w:eastAsia="仿宋" w:cs="仿宋"/>
          <w:color w:val="auto"/>
          <w:sz w:val="21"/>
          <w:szCs w:val="21"/>
          <w:highlight w:val="none"/>
        </w:rPr>
        <w:t xml:space="preserve">支持NAT映射或专线连接，保障数据传输稳定性。  </w:t>
      </w:r>
    </w:p>
    <w:p w14:paraId="79009E8C">
      <w:pPr>
        <w:pStyle w:val="3"/>
        <w:adjustRightInd w:val="0"/>
        <w:spacing w:line="336"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2.3.2 安全机制  </w:t>
      </w:r>
    </w:p>
    <w:p w14:paraId="27CF6675">
      <w:pPr>
        <w:pStyle w:val="3"/>
        <w:numPr>
          <w:ilvl w:val="0"/>
          <w:numId w:val="0"/>
        </w:numPr>
        <w:adjustRightInd w:val="0"/>
        <w:spacing w:line="336" w:lineRule="auto"/>
        <w:ind w:firstLine="420" w:firstLineChars="200"/>
        <w:rPr>
          <w:rFonts w:hint="eastAsia" w:ascii="仿宋" w:hAnsi="仿宋" w:eastAsia="仿宋" w:cs="仿宋"/>
          <w:color w:val="auto"/>
          <w:sz w:val="21"/>
          <w:szCs w:val="21"/>
          <w:highlight w:val="none"/>
        </w:rPr>
      </w:pPr>
      <w:r>
        <w:rPr>
          <w:rFonts w:hint="default" w:ascii="Wingdings" w:hAnsi="Wingdings" w:eastAsia="仿宋" w:cs="仿宋"/>
          <w:color w:val="auto"/>
          <w:kern w:val="2"/>
          <w:sz w:val="21"/>
          <w:szCs w:val="21"/>
          <w:lang w:val="en-US" w:eastAsia="zh-CN" w:bidi="ar-SA"/>
        </w:rPr>
        <w:t></w:t>
      </w:r>
      <w:r>
        <w:rPr>
          <w:rFonts w:hint="eastAsia" w:ascii="仿宋" w:hAnsi="仿宋" w:eastAsia="仿宋" w:cs="仿宋"/>
          <w:color w:val="auto"/>
          <w:sz w:val="21"/>
          <w:szCs w:val="21"/>
          <w:highlight w:val="none"/>
        </w:rPr>
        <w:t xml:space="preserve">身份认证：使用API密钥或Token验证。  </w:t>
      </w:r>
    </w:p>
    <w:p w14:paraId="5A9A6B3F">
      <w:pPr>
        <w:pStyle w:val="3"/>
        <w:numPr>
          <w:ilvl w:val="0"/>
          <w:numId w:val="0"/>
        </w:numPr>
        <w:adjustRightInd w:val="0"/>
        <w:spacing w:line="336" w:lineRule="auto"/>
        <w:ind w:firstLine="420" w:firstLineChars="200"/>
        <w:rPr>
          <w:rFonts w:hint="eastAsia" w:ascii="仿宋" w:hAnsi="仿宋" w:eastAsia="仿宋" w:cs="仿宋"/>
          <w:color w:val="auto"/>
          <w:sz w:val="21"/>
          <w:szCs w:val="21"/>
          <w:highlight w:val="none"/>
        </w:rPr>
      </w:pPr>
      <w:r>
        <w:rPr>
          <w:rFonts w:hint="default" w:ascii="Wingdings" w:hAnsi="Wingdings" w:eastAsia="仿宋" w:cs="仿宋"/>
          <w:color w:val="auto"/>
          <w:kern w:val="2"/>
          <w:sz w:val="21"/>
          <w:szCs w:val="21"/>
          <w:lang w:val="en-US" w:eastAsia="zh-CN" w:bidi="ar-SA"/>
        </w:rPr>
        <w:t></w:t>
      </w:r>
      <w:r>
        <w:rPr>
          <w:rFonts w:hint="eastAsia" w:ascii="仿宋" w:hAnsi="仿宋" w:eastAsia="仿宋" w:cs="仿宋"/>
          <w:color w:val="auto"/>
          <w:sz w:val="21"/>
          <w:szCs w:val="21"/>
          <w:highlight w:val="none"/>
        </w:rPr>
        <w:t xml:space="preserve">数据加密：传输层采用TLS 1.2及以上加密，敏感数据（如身份证号、病历信息）需加密存储与传输。  </w:t>
      </w:r>
    </w:p>
    <w:p w14:paraId="71113A6F">
      <w:pPr>
        <w:pStyle w:val="3"/>
        <w:numPr>
          <w:ilvl w:val="0"/>
          <w:numId w:val="0"/>
        </w:numPr>
        <w:adjustRightInd w:val="0"/>
        <w:spacing w:line="336" w:lineRule="auto"/>
        <w:ind w:firstLine="420" w:firstLineChars="200"/>
        <w:rPr>
          <w:rFonts w:hint="eastAsia" w:ascii="仿宋" w:hAnsi="仿宋" w:eastAsia="仿宋" w:cs="仿宋"/>
          <w:color w:val="auto"/>
          <w:sz w:val="21"/>
          <w:szCs w:val="21"/>
          <w:highlight w:val="none"/>
        </w:rPr>
      </w:pPr>
      <w:r>
        <w:rPr>
          <w:rFonts w:hint="default" w:ascii="Wingdings" w:hAnsi="Wingdings" w:eastAsia="仿宋" w:cs="仿宋"/>
          <w:color w:val="auto"/>
          <w:kern w:val="2"/>
          <w:sz w:val="21"/>
          <w:szCs w:val="21"/>
          <w:lang w:val="en-US" w:eastAsia="zh-CN" w:bidi="ar-SA"/>
        </w:rPr>
        <w:t></w:t>
      </w:r>
      <w:r>
        <w:rPr>
          <w:rFonts w:hint="eastAsia" w:ascii="仿宋" w:hAnsi="仿宋" w:eastAsia="仿宋" w:cs="仿宋"/>
          <w:color w:val="auto"/>
          <w:sz w:val="21"/>
          <w:szCs w:val="21"/>
          <w:highlight w:val="none"/>
        </w:rPr>
        <w:t>合规性：符合《健康医疗数据安全指南》（GB/T 39725-2020），确保患者隐私数据脱敏处理。</w:t>
      </w:r>
    </w:p>
    <w:p w14:paraId="3CFB9967">
      <w:pPr>
        <w:pStyle w:val="3"/>
        <w:adjustRightInd w:val="0"/>
        <w:spacing w:line="336"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2.4测试与验收</w:t>
      </w:r>
    </w:p>
    <w:p w14:paraId="1B38DF9C">
      <w:pPr>
        <w:pStyle w:val="3"/>
        <w:adjustRightInd w:val="0"/>
        <w:spacing w:line="336"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2.4.1联调测试  </w:t>
      </w:r>
    </w:p>
    <w:p w14:paraId="6FE71951">
      <w:pPr>
        <w:pStyle w:val="3"/>
        <w:numPr>
          <w:ilvl w:val="0"/>
          <w:numId w:val="0"/>
        </w:numPr>
        <w:adjustRightInd w:val="0"/>
        <w:spacing w:line="336" w:lineRule="auto"/>
        <w:ind w:firstLine="420" w:firstLineChars="200"/>
        <w:rPr>
          <w:rFonts w:hint="eastAsia" w:ascii="仿宋" w:hAnsi="仿宋" w:eastAsia="仿宋" w:cs="仿宋"/>
          <w:color w:val="auto"/>
          <w:sz w:val="21"/>
          <w:szCs w:val="21"/>
          <w:highlight w:val="none"/>
        </w:rPr>
      </w:pPr>
      <w:r>
        <w:rPr>
          <w:rFonts w:hint="default" w:ascii="Wingdings" w:hAnsi="Wingdings" w:eastAsia="仿宋" w:cs="仿宋"/>
          <w:color w:val="auto"/>
          <w:kern w:val="2"/>
          <w:sz w:val="21"/>
          <w:szCs w:val="21"/>
          <w:lang w:val="en-US" w:eastAsia="zh-CN" w:bidi="ar-SA"/>
        </w:rPr>
        <w:t></w:t>
      </w:r>
      <w:r>
        <w:rPr>
          <w:rFonts w:hint="eastAsia" w:ascii="仿宋" w:hAnsi="仿宋" w:eastAsia="仿宋" w:cs="仿宋"/>
          <w:color w:val="auto"/>
          <w:sz w:val="21"/>
          <w:szCs w:val="21"/>
          <w:highlight w:val="none"/>
        </w:rPr>
        <w:t xml:space="preserve">与医院HIS系统完成接口联调，验证数据传输的准确性。  </w:t>
      </w:r>
    </w:p>
    <w:p w14:paraId="0FC33ABB">
      <w:pPr>
        <w:pStyle w:val="3"/>
        <w:numPr>
          <w:ilvl w:val="0"/>
          <w:numId w:val="0"/>
        </w:numPr>
        <w:adjustRightInd w:val="0"/>
        <w:spacing w:line="336" w:lineRule="auto"/>
        <w:ind w:firstLine="420" w:firstLineChars="200"/>
        <w:rPr>
          <w:rFonts w:hint="eastAsia" w:ascii="仿宋" w:hAnsi="仿宋" w:eastAsia="仿宋" w:cs="仿宋"/>
          <w:color w:val="auto"/>
          <w:sz w:val="21"/>
          <w:szCs w:val="21"/>
          <w:highlight w:val="none"/>
        </w:rPr>
      </w:pPr>
      <w:r>
        <w:rPr>
          <w:rFonts w:hint="default" w:ascii="Wingdings" w:hAnsi="Wingdings" w:eastAsia="仿宋" w:cs="仿宋"/>
          <w:color w:val="auto"/>
          <w:kern w:val="2"/>
          <w:sz w:val="21"/>
          <w:szCs w:val="21"/>
          <w:lang w:val="en-US" w:eastAsia="zh-CN" w:bidi="ar-SA"/>
        </w:rPr>
        <w:t></w:t>
      </w:r>
      <w:r>
        <w:rPr>
          <w:rFonts w:hint="eastAsia" w:ascii="仿宋" w:hAnsi="仿宋" w:eastAsia="仿宋" w:cs="仿宋"/>
          <w:color w:val="auto"/>
          <w:sz w:val="21"/>
          <w:szCs w:val="21"/>
          <w:highlight w:val="none"/>
        </w:rPr>
        <w:t xml:space="preserve">模拟不同场景（如确诊病例上报、标本检测结果同步），测试接口响应时间（≤3秒）和稳定性。  </w:t>
      </w:r>
    </w:p>
    <w:p w14:paraId="4FB0C69D">
      <w:pPr>
        <w:pStyle w:val="3"/>
        <w:adjustRightInd w:val="0"/>
        <w:spacing w:line="336"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2.4.2验收标准  </w:t>
      </w:r>
    </w:p>
    <w:p w14:paraId="4BC05518">
      <w:pPr>
        <w:pStyle w:val="3"/>
        <w:numPr>
          <w:ilvl w:val="0"/>
          <w:numId w:val="0"/>
        </w:numPr>
        <w:adjustRightInd w:val="0"/>
        <w:spacing w:line="336" w:lineRule="auto"/>
        <w:ind w:firstLine="420" w:firstLineChars="200"/>
        <w:rPr>
          <w:rFonts w:hint="eastAsia" w:ascii="仿宋" w:hAnsi="仿宋" w:eastAsia="仿宋" w:cs="仿宋"/>
          <w:color w:val="auto"/>
          <w:sz w:val="21"/>
          <w:szCs w:val="21"/>
          <w:highlight w:val="none"/>
        </w:rPr>
      </w:pPr>
      <w:r>
        <w:rPr>
          <w:rFonts w:hint="default" w:ascii="Wingdings" w:hAnsi="Wingdings" w:eastAsia="仿宋" w:cs="仿宋"/>
          <w:color w:val="auto"/>
          <w:kern w:val="2"/>
          <w:sz w:val="21"/>
          <w:szCs w:val="21"/>
          <w:lang w:val="en-US" w:eastAsia="zh-CN" w:bidi="ar-SA"/>
        </w:rPr>
        <w:t></w:t>
      </w:r>
      <w:r>
        <w:rPr>
          <w:rFonts w:hint="eastAsia" w:ascii="仿宋" w:hAnsi="仿宋" w:eastAsia="仿宋" w:cs="仿宋"/>
          <w:color w:val="auto"/>
          <w:sz w:val="21"/>
          <w:szCs w:val="21"/>
          <w:highlight w:val="none"/>
        </w:rPr>
        <w:t xml:space="preserve">必选接口覆盖率100%，可选接口覆盖率≥80%。  </w:t>
      </w:r>
    </w:p>
    <w:p w14:paraId="2C8D4E50">
      <w:pPr>
        <w:pStyle w:val="3"/>
        <w:numPr>
          <w:ilvl w:val="0"/>
          <w:numId w:val="0"/>
        </w:numPr>
        <w:adjustRightInd w:val="0"/>
        <w:spacing w:line="336" w:lineRule="auto"/>
        <w:ind w:firstLine="420" w:firstLineChars="200"/>
        <w:rPr>
          <w:rFonts w:hint="eastAsia" w:ascii="仿宋" w:hAnsi="仿宋" w:eastAsia="仿宋" w:cs="仿宋"/>
          <w:color w:val="auto"/>
          <w:sz w:val="21"/>
          <w:szCs w:val="21"/>
          <w:highlight w:val="none"/>
        </w:rPr>
      </w:pPr>
      <w:r>
        <w:rPr>
          <w:rFonts w:hint="default" w:ascii="Wingdings" w:hAnsi="Wingdings" w:eastAsia="仿宋" w:cs="仿宋"/>
          <w:color w:val="auto"/>
          <w:kern w:val="2"/>
          <w:sz w:val="21"/>
          <w:szCs w:val="21"/>
          <w:lang w:val="en-US" w:eastAsia="zh-CN" w:bidi="ar-SA"/>
        </w:rPr>
        <w:t></w:t>
      </w:r>
      <w:r>
        <w:rPr>
          <w:rFonts w:hint="eastAsia" w:ascii="仿宋" w:hAnsi="仿宋" w:eastAsia="仿宋" w:cs="仿宋"/>
          <w:color w:val="auto"/>
          <w:sz w:val="21"/>
          <w:szCs w:val="21"/>
          <w:highlight w:val="none"/>
        </w:rPr>
        <w:t xml:space="preserve">数据准确率≥99%，错误率≤0.1%。  </w:t>
      </w:r>
    </w:p>
    <w:p w14:paraId="44022FAD">
      <w:pPr>
        <w:pStyle w:val="3"/>
        <w:numPr>
          <w:ilvl w:val="0"/>
          <w:numId w:val="0"/>
        </w:numPr>
        <w:adjustRightInd w:val="0"/>
        <w:spacing w:line="336" w:lineRule="auto"/>
        <w:ind w:firstLine="420" w:firstLineChars="200"/>
        <w:rPr>
          <w:rFonts w:hint="eastAsia" w:ascii="仿宋" w:hAnsi="仿宋" w:eastAsia="仿宋" w:cs="仿宋"/>
          <w:color w:val="auto"/>
          <w:sz w:val="21"/>
          <w:szCs w:val="21"/>
          <w:highlight w:val="none"/>
        </w:rPr>
      </w:pPr>
      <w:r>
        <w:rPr>
          <w:rFonts w:hint="default" w:ascii="Wingdings" w:hAnsi="Wingdings" w:eastAsia="仿宋" w:cs="仿宋"/>
          <w:color w:val="auto"/>
          <w:kern w:val="2"/>
          <w:sz w:val="21"/>
          <w:szCs w:val="21"/>
          <w:lang w:val="en-US" w:eastAsia="zh-CN" w:bidi="ar-SA"/>
        </w:rPr>
        <w:t></w:t>
      </w:r>
      <w:r>
        <w:rPr>
          <w:rFonts w:hint="eastAsia" w:ascii="仿宋" w:hAnsi="仿宋" w:eastAsia="仿宋" w:cs="仿宋"/>
          <w:color w:val="auto"/>
          <w:sz w:val="21"/>
          <w:szCs w:val="21"/>
          <w:highlight w:val="none"/>
        </w:rPr>
        <w:t>满足国家及省级平台的实时对接要求，如传染病数据上报延迟≤1小时。</w:t>
      </w:r>
    </w:p>
    <w:p w14:paraId="22EBC6CF">
      <w:pPr>
        <w:pStyle w:val="3"/>
        <w:adjustRightInd w:val="0"/>
        <w:spacing w:line="336"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2.5服务支持与维护</w:t>
      </w:r>
    </w:p>
    <w:p w14:paraId="4A36A733">
      <w:pPr>
        <w:pStyle w:val="3"/>
        <w:adjustRightInd w:val="0"/>
        <w:spacing w:line="336"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2.5.1 技术支持  </w:t>
      </w:r>
    </w:p>
    <w:p w14:paraId="2DB92B9E">
      <w:pPr>
        <w:pStyle w:val="3"/>
        <w:numPr>
          <w:ilvl w:val="0"/>
          <w:numId w:val="0"/>
        </w:numPr>
        <w:adjustRightInd w:val="0"/>
        <w:spacing w:line="336" w:lineRule="auto"/>
        <w:ind w:firstLine="420" w:firstLineChars="200"/>
        <w:rPr>
          <w:rFonts w:hint="eastAsia" w:ascii="仿宋" w:hAnsi="仿宋" w:eastAsia="仿宋" w:cs="仿宋"/>
          <w:color w:val="auto"/>
          <w:sz w:val="21"/>
          <w:szCs w:val="21"/>
          <w:highlight w:val="none"/>
        </w:rPr>
      </w:pPr>
      <w:r>
        <w:rPr>
          <w:rFonts w:hint="default" w:ascii="Wingdings" w:hAnsi="Wingdings" w:eastAsia="仿宋" w:cs="仿宋"/>
          <w:color w:val="auto"/>
          <w:kern w:val="2"/>
          <w:sz w:val="21"/>
          <w:szCs w:val="21"/>
          <w:lang w:val="en-US" w:eastAsia="zh-CN" w:bidi="ar-SA"/>
        </w:rPr>
        <w:t></w:t>
      </w:r>
      <w:r>
        <w:rPr>
          <w:rFonts w:hint="eastAsia" w:ascii="仿宋" w:hAnsi="仿宋" w:eastAsia="仿宋" w:cs="仿宋"/>
          <w:color w:val="auto"/>
          <w:sz w:val="21"/>
          <w:szCs w:val="21"/>
          <w:highlight w:val="none"/>
        </w:rPr>
        <w:t xml:space="preserve">提供7×24小时故障响应，确保接口中断修复时间≤4小时。  </w:t>
      </w:r>
    </w:p>
    <w:p w14:paraId="33CB08F1">
      <w:pPr>
        <w:pStyle w:val="3"/>
        <w:numPr>
          <w:ilvl w:val="0"/>
          <w:numId w:val="0"/>
        </w:numPr>
        <w:adjustRightInd w:val="0"/>
        <w:spacing w:line="336" w:lineRule="auto"/>
        <w:ind w:firstLine="420" w:firstLineChars="200"/>
        <w:rPr>
          <w:rFonts w:hint="eastAsia" w:ascii="仿宋" w:hAnsi="仿宋" w:eastAsia="仿宋" w:cs="仿宋"/>
          <w:color w:val="auto"/>
          <w:sz w:val="21"/>
          <w:szCs w:val="21"/>
          <w:highlight w:val="none"/>
        </w:rPr>
      </w:pPr>
      <w:r>
        <w:rPr>
          <w:rFonts w:hint="default" w:ascii="Wingdings" w:hAnsi="Wingdings" w:eastAsia="仿宋" w:cs="仿宋"/>
          <w:color w:val="auto"/>
          <w:kern w:val="2"/>
          <w:sz w:val="21"/>
          <w:szCs w:val="21"/>
          <w:lang w:val="en-US" w:eastAsia="zh-CN" w:bidi="ar-SA"/>
        </w:rPr>
        <w:t></w:t>
      </w:r>
      <w:r>
        <w:rPr>
          <w:rFonts w:hint="eastAsia" w:ascii="仿宋" w:hAnsi="仿宋" w:eastAsia="仿宋" w:cs="仿宋"/>
          <w:color w:val="auto"/>
          <w:sz w:val="21"/>
          <w:szCs w:val="21"/>
          <w:highlight w:val="none"/>
        </w:rPr>
        <w:t xml:space="preserve">定期优化接口性能，适应医院数据量增长。  </w:t>
      </w:r>
    </w:p>
    <w:p w14:paraId="0F22D667">
      <w:pPr>
        <w:pStyle w:val="3"/>
        <w:adjustRightInd w:val="0"/>
        <w:spacing w:line="336"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2.5.2升级维护  </w:t>
      </w:r>
    </w:p>
    <w:p w14:paraId="4687E085">
      <w:pPr>
        <w:pStyle w:val="3"/>
        <w:numPr>
          <w:ilvl w:val="0"/>
          <w:numId w:val="0"/>
        </w:numPr>
        <w:adjustRightInd w:val="0"/>
        <w:spacing w:line="336" w:lineRule="auto"/>
        <w:ind w:firstLine="420" w:firstLineChars="200"/>
        <w:rPr>
          <w:rFonts w:hint="eastAsia" w:ascii="仿宋" w:hAnsi="仿宋" w:eastAsia="仿宋" w:cs="仿宋"/>
          <w:color w:val="auto"/>
          <w:sz w:val="21"/>
          <w:szCs w:val="21"/>
          <w:highlight w:val="none"/>
        </w:rPr>
      </w:pPr>
      <w:r>
        <w:rPr>
          <w:rFonts w:hint="default" w:ascii="Wingdings" w:hAnsi="Wingdings" w:eastAsia="仿宋" w:cs="仿宋"/>
          <w:color w:val="auto"/>
          <w:kern w:val="2"/>
          <w:sz w:val="21"/>
          <w:szCs w:val="21"/>
          <w:lang w:val="en-US" w:eastAsia="zh-CN" w:bidi="ar-SA"/>
        </w:rPr>
        <w:t></w:t>
      </w:r>
      <w:r>
        <w:rPr>
          <w:rFonts w:hint="eastAsia" w:ascii="仿宋" w:hAnsi="仿宋" w:eastAsia="仿宋" w:cs="仿宋"/>
          <w:color w:val="auto"/>
          <w:sz w:val="21"/>
          <w:szCs w:val="21"/>
          <w:highlight w:val="none"/>
        </w:rPr>
        <w:t xml:space="preserve">支持国家/省级平台规则变更（如校验规则、字段调整）的无缝升级，无需大规模修改HIS系统。  </w:t>
      </w:r>
    </w:p>
    <w:p w14:paraId="65BD2382">
      <w:pPr>
        <w:pStyle w:val="3"/>
        <w:numPr>
          <w:ilvl w:val="0"/>
          <w:numId w:val="0"/>
        </w:numPr>
        <w:adjustRightInd w:val="0"/>
        <w:spacing w:line="336" w:lineRule="auto"/>
        <w:ind w:firstLine="420" w:firstLineChars="200"/>
        <w:rPr>
          <w:rFonts w:hint="eastAsia" w:ascii="仿宋" w:hAnsi="仿宋" w:eastAsia="仿宋" w:cs="仿宋"/>
          <w:color w:val="auto"/>
          <w:sz w:val="21"/>
          <w:szCs w:val="21"/>
          <w:highlight w:val="none"/>
        </w:rPr>
      </w:pPr>
      <w:r>
        <w:rPr>
          <w:rFonts w:hint="default" w:ascii="Wingdings" w:hAnsi="Wingdings" w:eastAsia="仿宋" w:cs="仿宋"/>
          <w:color w:val="auto"/>
          <w:kern w:val="2"/>
          <w:sz w:val="21"/>
          <w:szCs w:val="21"/>
          <w:lang w:val="en-US" w:eastAsia="zh-CN" w:bidi="ar-SA"/>
        </w:rPr>
        <w:t></w:t>
      </w:r>
      <w:r>
        <w:rPr>
          <w:rFonts w:hint="eastAsia" w:ascii="仿宋" w:hAnsi="仿宋" w:eastAsia="仿宋" w:cs="仿宋"/>
          <w:color w:val="auto"/>
          <w:sz w:val="21"/>
          <w:szCs w:val="21"/>
          <w:highlight w:val="none"/>
        </w:rPr>
        <w:t>提供接口文档、开发示例代码及培训服务，确保医院技术团队可独立进行二次开发。</w:t>
      </w:r>
    </w:p>
    <w:p w14:paraId="66C8F70F">
      <w:pPr>
        <w:pStyle w:val="3"/>
        <w:adjustRightInd w:val="0"/>
        <w:spacing w:line="336"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2.6其他要求</w:t>
      </w:r>
    </w:p>
    <w:p w14:paraId="46BAD7CF">
      <w:pPr>
        <w:pStyle w:val="3"/>
        <w:numPr>
          <w:ilvl w:val="0"/>
          <w:numId w:val="0"/>
        </w:numPr>
        <w:adjustRightInd w:val="0"/>
        <w:spacing w:line="336" w:lineRule="auto"/>
        <w:ind w:firstLine="420" w:firstLineChars="200"/>
        <w:rPr>
          <w:rFonts w:hint="eastAsia" w:ascii="仿宋" w:hAnsi="仿宋" w:eastAsia="仿宋" w:cs="仿宋"/>
          <w:color w:val="auto"/>
          <w:sz w:val="21"/>
          <w:szCs w:val="21"/>
          <w:highlight w:val="none"/>
        </w:rPr>
      </w:pPr>
      <w:r>
        <w:rPr>
          <w:rFonts w:hint="default" w:ascii="Wingdings" w:hAnsi="Wingdings" w:eastAsia="仿宋" w:cs="仿宋"/>
          <w:color w:val="auto"/>
          <w:kern w:val="2"/>
          <w:sz w:val="21"/>
          <w:szCs w:val="21"/>
          <w:lang w:val="en-US" w:eastAsia="zh-CN" w:bidi="ar-SA"/>
        </w:rPr>
        <w:t></w:t>
      </w:r>
      <w:r>
        <w:rPr>
          <w:rFonts w:hint="eastAsia" w:ascii="仿宋" w:hAnsi="仿宋" w:eastAsia="仿宋" w:cs="仿宋"/>
          <w:color w:val="auto"/>
          <w:sz w:val="21"/>
          <w:szCs w:val="21"/>
          <w:highlight w:val="none"/>
        </w:rPr>
        <w:t xml:space="preserve">需承诺遵守国家及地方医疗数据相关法规，如《传染病防治法》《医疗质量管理办法》。  </w:t>
      </w:r>
    </w:p>
    <w:p w14:paraId="115D3477">
      <w:pPr>
        <w:pStyle w:val="3"/>
        <w:numPr>
          <w:ilvl w:val="0"/>
          <w:numId w:val="0"/>
        </w:numPr>
        <w:adjustRightInd w:val="0"/>
        <w:spacing w:line="336" w:lineRule="auto"/>
        <w:ind w:firstLine="420" w:firstLineChars="200"/>
        <w:rPr>
          <w:rFonts w:hint="eastAsia" w:ascii="仿宋" w:hAnsi="仿宋" w:eastAsia="仿宋" w:cs="仿宋"/>
          <w:color w:val="auto"/>
          <w:sz w:val="21"/>
          <w:szCs w:val="21"/>
          <w:highlight w:val="none"/>
        </w:rPr>
      </w:pPr>
      <w:r>
        <w:rPr>
          <w:rFonts w:hint="default" w:ascii="Wingdings" w:hAnsi="Wingdings" w:eastAsia="仿宋" w:cs="仿宋"/>
          <w:color w:val="auto"/>
          <w:kern w:val="2"/>
          <w:sz w:val="21"/>
          <w:szCs w:val="21"/>
          <w:lang w:val="en-US" w:eastAsia="zh-CN" w:bidi="ar-SA"/>
        </w:rPr>
        <w:t></w:t>
      </w:r>
      <w:r>
        <w:rPr>
          <w:rFonts w:hint="eastAsia" w:ascii="仿宋" w:hAnsi="仿宋" w:eastAsia="仿宋" w:cs="仿宋"/>
          <w:color w:val="auto"/>
          <w:sz w:val="21"/>
          <w:szCs w:val="21"/>
          <w:highlight w:val="none"/>
        </w:rPr>
        <w:t>提供接口调用日志审计功能，支持至少6个月的日志存储与查询。</w:t>
      </w:r>
    </w:p>
    <w:p w14:paraId="30C2FE97">
      <w:pPr>
        <w:spacing w:line="336" w:lineRule="auto"/>
        <w:ind w:left="723" w:hanging="632" w:hangingChars="300"/>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第二条  甲方责任及义务</w:t>
      </w:r>
    </w:p>
    <w:p w14:paraId="43ADC018">
      <w:pPr>
        <w:pStyle w:val="12"/>
        <w:spacing w:line="336" w:lineRule="auto"/>
        <w:ind w:firstLine="48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1.甲方应按本合同约定及时向乙方支付维护费。</w:t>
      </w:r>
    </w:p>
    <w:p w14:paraId="7BAF3F5E">
      <w:pPr>
        <w:pStyle w:val="12"/>
        <w:spacing w:line="336" w:lineRule="auto"/>
        <w:ind w:firstLine="48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2.甲方应发现故障后及时向乙方发出维护服务要求。</w:t>
      </w:r>
    </w:p>
    <w:p w14:paraId="0D1EF383">
      <w:pPr>
        <w:pStyle w:val="12"/>
        <w:spacing w:line="336" w:lineRule="auto"/>
        <w:ind w:firstLine="48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3.甲方应向乙方提供相关软件系统正常使用和维护的环境。</w:t>
      </w:r>
    </w:p>
    <w:p w14:paraId="77708D87">
      <w:pPr>
        <w:pStyle w:val="12"/>
        <w:spacing w:line="336" w:lineRule="auto"/>
        <w:ind w:firstLine="48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4.甲方所提维护服务需求内容应符合甲方实际业务需求，符合国家相关规定。</w:t>
      </w:r>
    </w:p>
    <w:p w14:paraId="33F262F0">
      <w:pPr>
        <w:pStyle w:val="12"/>
        <w:spacing w:line="336" w:lineRule="auto"/>
        <w:ind w:firstLine="480"/>
        <w:rPr>
          <w:rFonts w:hint="eastAsia" w:ascii="仿宋" w:hAnsi="仿宋" w:eastAsia="仿宋" w:cs="仿宋"/>
          <w:b/>
          <w:bCs/>
          <w:color w:val="auto"/>
          <w:sz w:val="21"/>
          <w:szCs w:val="21"/>
          <w:highlight w:val="none"/>
        </w:rPr>
      </w:pPr>
      <w:r>
        <w:rPr>
          <w:rFonts w:hint="eastAsia" w:ascii="仿宋" w:hAnsi="仿宋" w:eastAsia="仿宋" w:cs="仿宋"/>
          <w:color w:val="auto"/>
          <w:sz w:val="21"/>
          <w:szCs w:val="21"/>
          <w:highlight w:val="none"/>
        </w:rPr>
        <w:t>5.甲方应安排专人配合乙方运维工程师的维护工作，协助乙方进行需求调研及分析，向乙方提供维护服务所需的必要支持，并对乙方的维护服务过程、结果进行监督、检查、确认、评价。</w:t>
      </w:r>
    </w:p>
    <w:p w14:paraId="74CA646E">
      <w:pPr>
        <w:spacing w:line="336" w:lineRule="auto"/>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第三条  乙方责任及义务</w:t>
      </w:r>
    </w:p>
    <w:p w14:paraId="137BC899">
      <w:pPr>
        <w:pStyle w:val="12"/>
        <w:spacing w:line="336" w:lineRule="auto"/>
        <w:ind w:firstLine="48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1.专人负责：乙方应指派经验丰富的运维工程师来承担甲方医院信息管理系统的具体维护工作，乙方服务人员应保证相对固定。</w:t>
      </w:r>
    </w:p>
    <w:p w14:paraId="0ECB5A25">
      <w:pPr>
        <w:pStyle w:val="12"/>
        <w:spacing w:line="336" w:lineRule="auto"/>
        <w:ind w:firstLine="48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指定联系人：乙方指定</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为联系人，联系电话</w:t>
      </w:r>
      <w:r>
        <w:rPr>
          <w:rFonts w:hint="eastAsia" w:ascii="仿宋" w:hAnsi="仿宋" w:eastAsia="仿宋" w:cs="仿宋"/>
          <w:color w:val="auto"/>
          <w:sz w:val="21"/>
          <w:szCs w:val="21"/>
          <w:highlight w:val="none"/>
          <w:u w:val="single"/>
        </w:rPr>
        <w:t>：</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，微信：</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rPr>
        <w:t>；联系地址：</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rPr>
        <w:t>，全权负责日常服务合作事宜，乙方指定联系人发生变化时，应提前【15】个工作日内书面通知甲方。</w:t>
      </w:r>
    </w:p>
    <w:p w14:paraId="2A4DF8A3">
      <w:pPr>
        <w:pStyle w:val="12"/>
        <w:spacing w:line="336" w:lineRule="auto"/>
        <w:ind w:firstLine="48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2.运维响应：乙方应为甲方提供全年7*24小时的电话技术支持、远程网络协助及现场服务；电话服务专线：</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。乙方在合同服务期内按附件2：《医院信息系统故障分级标准及响应时间明细表》为甲方信息系统提供维护或故障维修，直至系统恢复正常运营。</w:t>
      </w:r>
    </w:p>
    <w:p w14:paraId="0C484BBA">
      <w:pPr>
        <w:pStyle w:val="12"/>
        <w:spacing w:line="336" w:lineRule="auto"/>
        <w:ind w:firstLine="48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维护记录：在本合同约定的维护期限内，乙方应建立完善的维护记录管理体系，对于任何维护任务，乙方服务人员应严格填写维护记录单并交由甲方相关负责人审批，每次服务还应由甲方进行评价；服务产生的相关文件应及时归档且双方同时备案。</w:t>
      </w:r>
    </w:p>
    <w:p w14:paraId="4C8DCF20">
      <w:pPr>
        <w:pStyle w:val="12"/>
        <w:spacing w:line="336" w:lineRule="auto"/>
        <w:ind w:firstLine="48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巡检：乙方应每季度至少【1】次到达甲方现场对相关软件系统进行检查，优化软件系统运行，同时做好相关软件系统运行使用情况的记录；对可能存在的隐患及出现的故障提出解决方案，在征得甲方同意后现场进行软件系统优化；另外，乙方应根据实际需要，现场对甲方信息中心工作人员进行维护方案的培训及实际操作的指导。</w:t>
      </w:r>
    </w:p>
    <w:p w14:paraId="774FCD12">
      <w:pPr>
        <w:spacing w:line="336"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5.数据安全及保密：乙方在软件系统维护过程中，应协助甲方提前做好相关数据的备份工作，保证数据安全，并且做好相关数据及资料的保密工作；未经甲方允许，乙方不得将相关数据及资料带走、传播或它用。</w:t>
      </w:r>
    </w:p>
    <w:p w14:paraId="4B7B328F">
      <w:pPr>
        <w:spacing w:line="336" w:lineRule="auto"/>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第四条  不可抗力条款</w:t>
      </w:r>
    </w:p>
    <w:p w14:paraId="504F7E13">
      <w:pPr>
        <w:spacing w:line="336"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乙方对甲方在使用相关软件系统的过程中，因设备故障、病毒等造成的系统故障、数据丢失，以及因相关软件系统误用、毁损、遗失、被盗或其他不可抗力造成的损失双方均不承担责任，乙方积极协助甲方处理此类问题。</w:t>
      </w:r>
    </w:p>
    <w:p w14:paraId="14A48ED9">
      <w:pPr>
        <w:pStyle w:val="12"/>
        <w:spacing w:line="336" w:lineRule="auto"/>
        <w:ind w:firstLine="480" w:firstLineChars="0"/>
        <w:rPr>
          <w:rFonts w:hint="eastAsia" w:ascii="仿宋" w:hAnsi="仿宋" w:eastAsia="仿宋" w:cs="仿宋"/>
          <w:color w:val="auto"/>
          <w:sz w:val="21"/>
          <w:szCs w:val="21"/>
          <w:highlight w:val="none"/>
        </w:rPr>
      </w:pPr>
      <w:r>
        <w:rPr>
          <w:rFonts w:hint="eastAsia" w:ascii="仿宋" w:hAnsi="仿宋" w:eastAsia="仿宋" w:cs="仿宋"/>
          <w:bCs/>
          <w:color w:val="auto"/>
          <w:sz w:val="21"/>
          <w:szCs w:val="21"/>
          <w:highlight w:val="none"/>
        </w:rPr>
        <w:t>2.由于特殊情况（非乙方原因所致）及不可抗力造成维护服务拖延或不能正常进行，甲乙双方应按实际情况重新调整维护服务时间和内容，双方同意后执行。</w:t>
      </w:r>
    </w:p>
    <w:p w14:paraId="0808DC8C">
      <w:pPr>
        <w:tabs>
          <w:tab w:val="left" w:pos="900"/>
        </w:tabs>
        <w:spacing w:line="336" w:lineRule="auto"/>
        <w:ind w:left="723" w:hanging="632" w:hangingChars="300"/>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第五条  保密条款</w:t>
      </w:r>
    </w:p>
    <w:p w14:paraId="5701A5CC">
      <w:pPr>
        <w:tabs>
          <w:tab w:val="left" w:pos="360"/>
        </w:tabs>
        <w:spacing w:line="336"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1.乙方负责对甲方的所有业务及软件系统数据进行保密，不得以任何形式泄露给第三方；保密时效和机密性质认定应参照同行业有关规定。</w:t>
      </w:r>
    </w:p>
    <w:p w14:paraId="75427320">
      <w:pPr>
        <w:tabs>
          <w:tab w:val="left" w:pos="360"/>
        </w:tabs>
        <w:spacing w:line="336"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本协议所述之保密信息系指本协议条款的全部内容，本协议签订及履行情况，以及甲、乙双方通过签订及履行本协议而获知的对方或对方关联公司尚未公开的任何信息，包括但不限于：甲方医疗信息、经营信息、患者信息、相关知识产权内容、业务规划与计划、生产经营业绩与财务数据、现有及预期的客户和供应商信息、财务信息、人力资源资料、业务运作文件，技术资料与创意、设计、处理流程、技术与集成方案、实施计划、咨询报告、计算机程序（包括源程序与目标代码），以及其他类似的信息。如乙方泄露甲方以上信息，需承担全部法律责任。</w:t>
      </w:r>
    </w:p>
    <w:p w14:paraId="114781AC">
      <w:pPr>
        <w:tabs>
          <w:tab w:val="left" w:pos="360"/>
        </w:tabs>
        <w:spacing w:line="336"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甲、乙双方均有义务对上述保密信息履行保密义务，未经对方同意，另一方不得向任何第三方披露或者透露任何保密信息，以及将任何保密信息用于与本协议无关的其他任何用途，亦不得依据披露方提供的任何保密信息向本协议以外的任何第三方做出任何建议，但双方向各自的外部顾问，如律师事务所、会计事务所、审计事务所或公司披露以及根据各级有管辖权的立法、司法、行政机关或证券市场主管机构的要求披露除外。</w:t>
      </w:r>
    </w:p>
    <w:p w14:paraId="7F465E73">
      <w:pPr>
        <w:tabs>
          <w:tab w:val="left" w:pos="360"/>
        </w:tabs>
        <w:spacing w:line="336"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4.任何一方违反保密义务，应向守约方赔偿由此造成的一切损失，并承担相应法律责任。</w:t>
      </w:r>
    </w:p>
    <w:p w14:paraId="49A2601B">
      <w:pPr>
        <w:tabs>
          <w:tab w:val="left" w:pos="360"/>
        </w:tabs>
        <w:spacing w:line="336"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5.本条款不因本协议的无效、解除、终止而失效。</w:t>
      </w:r>
    </w:p>
    <w:p w14:paraId="754DCF3C">
      <w:pPr>
        <w:spacing w:line="336" w:lineRule="auto"/>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第六条  维保期限及地点</w:t>
      </w:r>
    </w:p>
    <w:p w14:paraId="4514326C">
      <w:pPr>
        <w:spacing w:line="336"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eastAsia="zh-CN"/>
        </w:rPr>
        <w:t xml:space="preserve">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年</w:t>
      </w:r>
      <w:r>
        <w:rPr>
          <w:rFonts w:hint="eastAsia" w:ascii="仿宋" w:hAnsi="仿宋" w:eastAsia="仿宋" w:cs="仿宋"/>
          <w:color w:val="auto"/>
          <w:sz w:val="21"/>
          <w:szCs w:val="21"/>
          <w:highlight w:val="none"/>
          <w:u w:val="single"/>
          <w:lang w:eastAsia="zh-CN"/>
        </w:rPr>
        <w:t xml:space="preserve">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月</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eastAsia="zh-CN"/>
        </w:rPr>
        <w:t xml:space="preserve">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日至</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eastAsia="zh-CN"/>
        </w:rPr>
        <w:t xml:space="preserve">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年</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eastAsia="zh-CN"/>
        </w:rPr>
        <w:t xml:space="preserve">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月</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eastAsia="zh-CN"/>
        </w:rPr>
        <w:t xml:space="preserve">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rPr>
        <w:t>日，为期【1】年。（本合同约定的维护期）</w:t>
      </w:r>
    </w:p>
    <w:p w14:paraId="32DF3C5E">
      <w:pPr>
        <w:spacing w:line="336" w:lineRule="auto"/>
        <w:ind w:firstLine="420" w:firstLineChars="200"/>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2.合同履行地点：陕西省交通医院</w:t>
      </w:r>
    </w:p>
    <w:p w14:paraId="391BA18A">
      <w:pPr>
        <w:tabs>
          <w:tab w:val="left" w:pos="2910"/>
        </w:tabs>
        <w:spacing w:line="336" w:lineRule="auto"/>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第七条  维护费及付款方式</w:t>
      </w:r>
    </w:p>
    <w:p w14:paraId="7410F83B">
      <w:pPr>
        <w:pStyle w:val="13"/>
        <w:spacing w:line="336" w:lineRule="auto"/>
        <w:ind w:firstLine="48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维护费（每年）：</w:t>
      </w:r>
      <w:r>
        <w:rPr>
          <w:rFonts w:hint="eastAsia" w:ascii="仿宋" w:hAnsi="仿宋" w:eastAsia="仿宋" w:cs="仿宋"/>
          <w:color w:val="auto"/>
          <w:sz w:val="21"/>
          <w:szCs w:val="21"/>
          <w:highlight w:val="none"/>
          <w:u w:val="single"/>
        </w:rPr>
        <w:t>（大写）：人民币</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rPr>
        <w:t>（小写: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rPr>
        <w:t>元）</w:t>
      </w:r>
      <w:r>
        <w:rPr>
          <w:rFonts w:hint="eastAsia" w:ascii="仿宋" w:hAnsi="仿宋" w:eastAsia="仿宋" w:cs="仿宋"/>
          <w:color w:val="auto"/>
          <w:sz w:val="21"/>
          <w:szCs w:val="21"/>
          <w:highlight w:val="none"/>
        </w:rPr>
        <w:t>。合同签订生效后，共计分为以下两次进行付款：</w:t>
      </w:r>
    </w:p>
    <w:p w14:paraId="6677A6FA">
      <w:pPr>
        <w:pStyle w:val="13"/>
        <w:spacing w:line="336" w:lineRule="auto"/>
        <w:ind w:firstLine="48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1.第一次付款：合同签订且收到发票后 ，达到付款条件起 10 日内，支付合同总金额的50.00%。</w:t>
      </w:r>
    </w:p>
    <w:p w14:paraId="5FE1F7F7">
      <w:pPr>
        <w:pStyle w:val="13"/>
        <w:spacing w:line="336" w:lineRule="auto"/>
        <w:ind w:firstLine="48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2.第二次付款：项目按合同验收标准合格且收到发票后 ，达到合同约定付款条件起 10 日内，支付合同总金额的 50.00%。</w:t>
      </w:r>
    </w:p>
    <w:p w14:paraId="7AF299FD">
      <w:pPr>
        <w:pStyle w:val="13"/>
        <w:spacing w:line="336" w:lineRule="auto"/>
        <w:ind w:firstLine="48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3.若乙方在甲方付款前未能提供等额合规发票的，甲方有权拒付合同款项，且不承担任何责任，乙方亦不得以此为由拒绝履行任意合同义务。</w:t>
      </w:r>
    </w:p>
    <w:p w14:paraId="480A8841">
      <w:pPr>
        <w:spacing w:line="336" w:lineRule="auto"/>
        <w:ind w:left="1"/>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第八条 违约责任</w:t>
      </w:r>
    </w:p>
    <w:p w14:paraId="5719FD81">
      <w:pPr>
        <w:pStyle w:val="13"/>
        <w:spacing w:line="336" w:lineRule="auto"/>
        <w:ind w:firstLine="48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除不可抗力因素外，因乙方原因造成无法在本合同第三条第2款约定的时限内及时响应并排除故障的，逾期责任由乙方承担，每逾期一天乙方按合同总价的【0.5】%向甲方支付违约金，累计逾期超过【30】天或合同期内逾期情形累计出现【10】次的，视为乙方根本违约，甲方有权单方解除本协议，乙方应按合同总价的【10】%向甲方支付违约金，并承担因此造成的甲方损失；除不可抗力因素外，因甲方原因造成无法按照合同约定如期向乙方支付相应款项的，逾期责任应由甲方承担，每逾期一天甲方按照合同总价的【0.5】%向乙方支付违约金，累计逾期超过【30】天的，视为甲方根本违约，乙方有权单方解除本协议，甲方应按照合同总价的【10】%向乙方支付违约金，并承担因此造成的乙方损失。</w:t>
      </w:r>
    </w:p>
    <w:p w14:paraId="1B1F1A2D">
      <w:pPr>
        <w:pStyle w:val="13"/>
        <w:spacing w:line="336" w:lineRule="auto"/>
        <w:ind w:firstLine="48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在合同期限内，由于乙方服务人员工作而导致甲方数据库受损、数据错误、丢失等，视为乙方严重违约，承担因此造成的甲方损失；由于甲方操作人员违规操作或硬件设备故障等导致的甲方数据库受损、数据错误、丢失等与乙方无关。</w:t>
      </w:r>
    </w:p>
    <w:p w14:paraId="133C01CC">
      <w:pPr>
        <w:pStyle w:val="13"/>
        <w:spacing w:line="336" w:lineRule="auto"/>
        <w:ind w:firstLine="48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3.在合同期限内，未经甲方同意，乙方不得转包、分包本合同项下的合同义务。 </w:t>
      </w:r>
    </w:p>
    <w:p w14:paraId="001DB399">
      <w:pPr>
        <w:pStyle w:val="13"/>
        <w:spacing w:line="336" w:lineRule="auto"/>
        <w:ind w:firstLine="48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4.乙方在上门维护期间因乙方原因造成甲方设备损坏的，由乙方承担全部赔偿责任，给甲方造成其他损失的，甲方有权向乙方追偿。</w:t>
      </w:r>
    </w:p>
    <w:p w14:paraId="0E7FA8CF">
      <w:pPr>
        <w:spacing w:line="336" w:lineRule="auto"/>
        <w:ind w:left="1"/>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第九条  争议解决</w:t>
      </w:r>
    </w:p>
    <w:p w14:paraId="527BD7D4">
      <w:pPr>
        <w:spacing w:line="360" w:lineRule="auto"/>
        <w:ind w:firstLine="48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甲乙双方在发生合同纠纷时，应本着互谅互让的原则友好协商解决。若协商不成，双方均可向甲方所在地有管辖权的人民法院提起诉讼。</w:t>
      </w:r>
    </w:p>
    <w:p w14:paraId="7413C4EC">
      <w:pPr>
        <w:spacing w:line="336" w:lineRule="auto"/>
        <w:ind w:left="1"/>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第十条 通知及送达</w:t>
      </w:r>
    </w:p>
    <w:p w14:paraId="35768D24">
      <w:pPr>
        <w:spacing w:line="360" w:lineRule="auto"/>
        <w:ind w:firstLine="48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甲乙双方因履行本协议而相互发出或者提供的所有通知、文件、资料，均应以本协议所列明的联系方式送达，当面交付文件的，在交付之时视为送达；以邮寄方式的，以实际收到日为送达，实际送达日超出7日或无法查询投递结果的，均将视为在将通知交寄之后的7日按期送达；以电子邮件发送的，邮件发出并到达对方服务器之时视为送达。有关本协议的通知，任何一方向双方在本协议所填写的地址、手机号码、电话号码、电子邮件、微信号等发送的通知，即视为送达。</w:t>
      </w:r>
    </w:p>
    <w:p w14:paraId="20117E37">
      <w:pPr>
        <w:spacing w:line="360" w:lineRule="auto"/>
        <w:ind w:firstLine="48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双方一致认可，在本协议签订后，双方之间的书面通知等文件通过递送、挂号、传真、特快专递等方式发送至协议记载的双方的通讯地址视为送达，且该通讯地址适用争议解决阶段；如果一方故意拒收、找他人代收、邮件被退回或以其他理由逃避接收文件的，所有书面文书自发出之日视为送达。</w:t>
      </w:r>
    </w:p>
    <w:p w14:paraId="5A23B92E">
      <w:pPr>
        <w:spacing w:line="360" w:lineRule="auto"/>
        <w:ind w:firstLine="48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任何一方的联络方法发生变更的，应在变更之日起3个工作日内书面通知对方。在被通知方收到有关通知之前，被通知方根据变更前的联络方法所做出的联络和通讯应视为有效，未及时通知变更情况的一方自行承担由此产生的法律后果。</w:t>
      </w:r>
    </w:p>
    <w:p w14:paraId="2783F234">
      <w:pPr>
        <w:spacing w:line="336" w:lineRule="auto"/>
        <w:ind w:left="1"/>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第十一条  附则</w:t>
      </w:r>
    </w:p>
    <w:p w14:paraId="0BEF7C3A">
      <w:pPr>
        <w:spacing w:line="336"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1.未经双方书面确认，任何一方不得变更或修改本合同。</w:t>
      </w:r>
    </w:p>
    <w:p w14:paraId="7D7D6D8C">
      <w:pPr>
        <w:spacing w:line="336"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2.对于本合同未尽事宜，双方可随时签订补充协议或以附件的形式对本合同中的有关问题作出补充、说明、解释。本合同的补充协议和附件为其不可分的部分，与本合同具有同等法律效力。</w:t>
      </w:r>
    </w:p>
    <w:p w14:paraId="4FE081B4">
      <w:pPr>
        <w:spacing w:line="336"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3.本合同须加盖“骑缝章”，以确保合同的完整。</w:t>
      </w:r>
    </w:p>
    <w:p w14:paraId="72DCBB51">
      <w:pPr>
        <w:spacing w:line="336"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4.服务期限满，甲方若需乙方继续提供日常运行维护服务，甲方需与乙方续签技术服务合同，并支付年服务费。</w:t>
      </w:r>
    </w:p>
    <w:p w14:paraId="190B05F8">
      <w:pPr>
        <w:spacing w:line="336"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4.本合同共</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rPr>
        <w:t>页一式</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rPr>
        <w:t>份，双方各执</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rPr>
        <w:t>份，甲、乙双方法定代表人或授权代表签字并加盖公章后，方可生效，均具有同等法律效力。</w:t>
      </w:r>
    </w:p>
    <w:p w14:paraId="56F0B22A">
      <w:pPr>
        <w:pStyle w:val="7"/>
        <w:ind w:firstLine="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（以下无正文）</w:t>
      </w:r>
    </w:p>
    <w:p w14:paraId="221641AF">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br w:type="page"/>
      </w:r>
    </w:p>
    <w:tbl>
      <w:tblPr>
        <w:tblStyle w:val="9"/>
        <w:tblpPr w:leftFromText="180" w:rightFromText="180" w:vertAnchor="text" w:horzAnchor="page" w:tblpX="1011" w:tblpY="396"/>
        <w:tblOverlap w:val="never"/>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17"/>
        <w:gridCol w:w="3001"/>
        <w:gridCol w:w="1543"/>
        <w:gridCol w:w="3789"/>
      </w:tblGrid>
      <w:tr w14:paraId="0621B0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770" w:type="pct"/>
          </w:tcPr>
          <w:p w14:paraId="69E7BE42">
            <w:pPr>
              <w:spacing w:line="360" w:lineRule="auto"/>
              <w:rPr>
                <w:rFonts w:hint="eastAsia" w:ascii="仿宋" w:hAnsi="仿宋" w:eastAsia="仿宋" w:cs="仿宋"/>
                <w:color w:val="auto"/>
                <w:szCs w:val="21"/>
                <w:highlight w:val="none"/>
              </w:rPr>
            </w:pPr>
            <w:r>
              <w:rPr>
                <w:rFonts w:hint="eastAsia" w:ascii="仿宋" w:hAnsi="仿宋" w:eastAsia="仿宋" w:cs="仿宋"/>
                <w:b/>
                <w:color w:val="auto"/>
                <w:szCs w:val="21"/>
                <w:highlight w:val="none"/>
              </w:rPr>
              <w:t>甲    方：</w:t>
            </w:r>
            <w:r>
              <w:rPr>
                <w:rFonts w:hint="eastAsia" w:ascii="仿宋" w:hAnsi="仿宋" w:eastAsia="仿宋" w:cs="仿宋"/>
                <w:color w:val="auto"/>
                <w:szCs w:val="21"/>
                <w:highlight w:val="none"/>
              </w:rPr>
              <w:t xml:space="preserve"> </w:t>
            </w:r>
          </w:p>
        </w:tc>
        <w:tc>
          <w:tcPr>
            <w:tcW w:w="1523" w:type="pct"/>
          </w:tcPr>
          <w:p w14:paraId="7A7AD379">
            <w:pPr>
              <w:spacing w:line="360" w:lineRule="auto"/>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陕西省交通医院（章）</w:t>
            </w:r>
          </w:p>
        </w:tc>
        <w:tc>
          <w:tcPr>
            <w:tcW w:w="783" w:type="pct"/>
          </w:tcPr>
          <w:p w14:paraId="550FBF91">
            <w:pPr>
              <w:spacing w:line="360" w:lineRule="auto"/>
              <w:rPr>
                <w:rFonts w:hint="eastAsia" w:ascii="仿宋" w:hAnsi="仿宋" w:eastAsia="仿宋" w:cs="仿宋"/>
                <w:color w:val="auto"/>
                <w:szCs w:val="21"/>
                <w:highlight w:val="none"/>
              </w:rPr>
            </w:pPr>
            <w:r>
              <w:rPr>
                <w:rFonts w:hint="eastAsia" w:ascii="仿宋" w:hAnsi="仿宋" w:eastAsia="仿宋" w:cs="仿宋"/>
                <w:b/>
                <w:color w:val="auto"/>
                <w:szCs w:val="21"/>
                <w:highlight w:val="none"/>
              </w:rPr>
              <w:t>乙    方：</w:t>
            </w:r>
            <w:r>
              <w:rPr>
                <w:rFonts w:hint="eastAsia" w:ascii="仿宋" w:hAnsi="仿宋" w:eastAsia="仿宋" w:cs="仿宋"/>
                <w:color w:val="auto"/>
                <w:szCs w:val="21"/>
                <w:highlight w:val="none"/>
              </w:rPr>
              <w:t xml:space="preserve"> </w:t>
            </w:r>
          </w:p>
        </w:tc>
        <w:tc>
          <w:tcPr>
            <w:tcW w:w="1923" w:type="pct"/>
          </w:tcPr>
          <w:p w14:paraId="58350C32">
            <w:pPr>
              <w:spacing w:line="360" w:lineRule="auto"/>
              <w:rPr>
                <w:rFonts w:hint="eastAsia" w:ascii="仿宋" w:hAnsi="仿宋" w:eastAsia="仿宋" w:cs="仿宋"/>
                <w:color w:val="auto"/>
                <w:szCs w:val="21"/>
                <w:highlight w:val="none"/>
              </w:rPr>
            </w:pPr>
          </w:p>
        </w:tc>
      </w:tr>
      <w:tr w14:paraId="4C0D9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770" w:type="pct"/>
          </w:tcPr>
          <w:p w14:paraId="558D8156">
            <w:pP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单位税号：</w:t>
            </w:r>
          </w:p>
        </w:tc>
        <w:tc>
          <w:tcPr>
            <w:tcW w:w="1523" w:type="pct"/>
          </w:tcPr>
          <w:p w14:paraId="30A7A925">
            <w:pP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12610000435201944P</w:t>
            </w:r>
          </w:p>
        </w:tc>
        <w:tc>
          <w:tcPr>
            <w:tcW w:w="783" w:type="pct"/>
          </w:tcPr>
          <w:p w14:paraId="2B10AF4F">
            <w:pP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单位税号：</w:t>
            </w:r>
          </w:p>
        </w:tc>
        <w:tc>
          <w:tcPr>
            <w:tcW w:w="1923" w:type="pct"/>
          </w:tcPr>
          <w:p w14:paraId="3A222C63">
            <w:pPr>
              <w:spacing w:line="360" w:lineRule="auto"/>
              <w:rPr>
                <w:rFonts w:hint="eastAsia" w:ascii="仿宋" w:hAnsi="仿宋" w:eastAsia="仿宋" w:cs="仿宋"/>
                <w:color w:val="auto"/>
                <w:szCs w:val="21"/>
                <w:highlight w:val="none"/>
              </w:rPr>
            </w:pPr>
          </w:p>
        </w:tc>
      </w:tr>
      <w:tr w14:paraId="2EB1D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770" w:type="pct"/>
          </w:tcPr>
          <w:p w14:paraId="4190A603">
            <w:pP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单位地址：</w:t>
            </w:r>
          </w:p>
        </w:tc>
        <w:tc>
          <w:tcPr>
            <w:tcW w:w="1523" w:type="pct"/>
          </w:tcPr>
          <w:p w14:paraId="653D8EA4">
            <w:pP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西安市大学南路276号</w:t>
            </w:r>
          </w:p>
        </w:tc>
        <w:tc>
          <w:tcPr>
            <w:tcW w:w="783" w:type="pct"/>
          </w:tcPr>
          <w:p w14:paraId="05960359">
            <w:pP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单位地址：</w:t>
            </w:r>
          </w:p>
        </w:tc>
        <w:tc>
          <w:tcPr>
            <w:tcW w:w="1923" w:type="pct"/>
          </w:tcPr>
          <w:p w14:paraId="670B11AC">
            <w:pPr>
              <w:spacing w:line="360" w:lineRule="auto"/>
              <w:rPr>
                <w:rFonts w:hint="eastAsia" w:ascii="仿宋" w:hAnsi="仿宋" w:eastAsia="仿宋" w:cs="仿宋"/>
                <w:color w:val="auto"/>
                <w:szCs w:val="21"/>
                <w:highlight w:val="none"/>
              </w:rPr>
            </w:pPr>
          </w:p>
        </w:tc>
      </w:tr>
      <w:tr w14:paraId="0449A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770" w:type="pct"/>
          </w:tcPr>
          <w:p w14:paraId="76AB947C">
            <w:pP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电    话：</w:t>
            </w:r>
          </w:p>
        </w:tc>
        <w:tc>
          <w:tcPr>
            <w:tcW w:w="1523" w:type="pct"/>
          </w:tcPr>
          <w:p w14:paraId="2F6C4EB0">
            <w:pP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029-88490077</w:t>
            </w:r>
          </w:p>
        </w:tc>
        <w:tc>
          <w:tcPr>
            <w:tcW w:w="783" w:type="pct"/>
          </w:tcPr>
          <w:p w14:paraId="6913704E">
            <w:pP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电    话：</w:t>
            </w:r>
          </w:p>
        </w:tc>
        <w:tc>
          <w:tcPr>
            <w:tcW w:w="1923" w:type="pct"/>
          </w:tcPr>
          <w:p w14:paraId="29C84D49">
            <w:pPr>
              <w:spacing w:line="360" w:lineRule="auto"/>
              <w:rPr>
                <w:rFonts w:hint="eastAsia" w:ascii="仿宋" w:hAnsi="仿宋" w:eastAsia="仿宋" w:cs="仿宋"/>
                <w:color w:val="auto"/>
                <w:szCs w:val="21"/>
                <w:highlight w:val="none"/>
              </w:rPr>
            </w:pPr>
          </w:p>
        </w:tc>
      </w:tr>
      <w:tr w14:paraId="1EB76D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770" w:type="pct"/>
          </w:tcPr>
          <w:p w14:paraId="17B3ED54">
            <w:pP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银    行：</w:t>
            </w:r>
          </w:p>
        </w:tc>
        <w:tc>
          <w:tcPr>
            <w:tcW w:w="1523" w:type="pct"/>
          </w:tcPr>
          <w:p w14:paraId="6CA46A2F">
            <w:pP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中国农业银行西安昆明路支行</w:t>
            </w:r>
          </w:p>
        </w:tc>
        <w:tc>
          <w:tcPr>
            <w:tcW w:w="783" w:type="pct"/>
          </w:tcPr>
          <w:p w14:paraId="7A8A6F87">
            <w:pP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 xml:space="preserve">开户银行： </w:t>
            </w:r>
          </w:p>
        </w:tc>
        <w:tc>
          <w:tcPr>
            <w:tcW w:w="1923" w:type="pct"/>
          </w:tcPr>
          <w:p w14:paraId="2BE581F5">
            <w:pPr>
              <w:spacing w:line="360" w:lineRule="auto"/>
              <w:rPr>
                <w:rFonts w:hint="eastAsia" w:ascii="仿宋" w:hAnsi="仿宋" w:eastAsia="仿宋" w:cs="仿宋"/>
                <w:color w:val="auto"/>
                <w:szCs w:val="21"/>
                <w:highlight w:val="none"/>
              </w:rPr>
            </w:pPr>
          </w:p>
        </w:tc>
      </w:tr>
      <w:tr w14:paraId="70EDA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770" w:type="pct"/>
          </w:tcPr>
          <w:p w14:paraId="7DFDC923">
            <w:pP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账    号：</w:t>
            </w:r>
          </w:p>
        </w:tc>
        <w:tc>
          <w:tcPr>
            <w:tcW w:w="1523" w:type="pct"/>
          </w:tcPr>
          <w:p w14:paraId="0C1A4379">
            <w:pP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2614 2601 0400 17869</w:t>
            </w:r>
          </w:p>
        </w:tc>
        <w:tc>
          <w:tcPr>
            <w:tcW w:w="783" w:type="pct"/>
          </w:tcPr>
          <w:p w14:paraId="669B20E4">
            <w:pP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账    号：</w:t>
            </w:r>
          </w:p>
        </w:tc>
        <w:tc>
          <w:tcPr>
            <w:tcW w:w="1923" w:type="pct"/>
          </w:tcPr>
          <w:p w14:paraId="6849C3E9">
            <w:pPr>
              <w:spacing w:line="360" w:lineRule="auto"/>
              <w:rPr>
                <w:rFonts w:hint="eastAsia" w:ascii="仿宋" w:hAnsi="仿宋" w:eastAsia="仿宋" w:cs="仿宋"/>
                <w:color w:val="auto"/>
                <w:szCs w:val="21"/>
                <w:highlight w:val="none"/>
              </w:rPr>
            </w:pPr>
          </w:p>
        </w:tc>
      </w:tr>
      <w:tr w14:paraId="2C15D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770" w:type="pct"/>
          </w:tcPr>
          <w:p w14:paraId="6980928A">
            <w:pP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法定代表人或委托代理人：</w:t>
            </w:r>
          </w:p>
        </w:tc>
        <w:tc>
          <w:tcPr>
            <w:tcW w:w="1523" w:type="pct"/>
          </w:tcPr>
          <w:p w14:paraId="0482AFA6">
            <w:pPr>
              <w:spacing w:line="360" w:lineRule="auto"/>
              <w:rPr>
                <w:rFonts w:hint="eastAsia" w:ascii="仿宋" w:hAnsi="仿宋" w:eastAsia="仿宋" w:cs="仿宋"/>
                <w:color w:val="auto"/>
                <w:szCs w:val="21"/>
                <w:highlight w:val="none"/>
              </w:rPr>
            </w:pPr>
          </w:p>
        </w:tc>
        <w:tc>
          <w:tcPr>
            <w:tcW w:w="783" w:type="pct"/>
          </w:tcPr>
          <w:p w14:paraId="24991BEB">
            <w:pP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法定代表人或委托代理人：</w:t>
            </w:r>
          </w:p>
        </w:tc>
        <w:tc>
          <w:tcPr>
            <w:tcW w:w="1923" w:type="pct"/>
          </w:tcPr>
          <w:p w14:paraId="050BADC3">
            <w:pPr>
              <w:spacing w:line="360" w:lineRule="auto"/>
              <w:rPr>
                <w:rFonts w:hint="eastAsia" w:ascii="仿宋" w:hAnsi="仿宋" w:eastAsia="仿宋" w:cs="仿宋"/>
                <w:color w:val="auto"/>
                <w:szCs w:val="21"/>
                <w:highlight w:val="none"/>
              </w:rPr>
            </w:pPr>
          </w:p>
        </w:tc>
      </w:tr>
      <w:tr w14:paraId="11FEB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770" w:type="pct"/>
          </w:tcPr>
          <w:p w14:paraId="5BDD7379">
            <w:pP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签订日期：</w:t>
            </w:r>
          </w:p>
        </w:tc>
        <w:tc>
          <w:tcPr>
            <w:tcW w:w="1523" w:type="pct"/>
          </w:tcPr>
          <w:p w14:paraId="59A3D6BA">
            <w:pPr>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 w:val="21"/>
                <w:szCs w:val="21"/>
                <w:highlight w:val="none"/>
              </w:rPr>
              <w:t>年  月  日</w:t>
            </w:r>
          </w:p>
        </w:tc>
        <w:tc>
          <w:tcPr>
            <w:tcW w:w="783" w:type="pct"/>
          </w:tcPr>
          <w:p w14:paraId="7D717B61">
            <w:pP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签订日期：</w:t>
            </w:r>
          </w:p>
        </w:tc>
        <w:tc>
          <w:tcPr>
            <w:tcW w:w="1923" w:type="pct"/>
          </w:tcPr>
          <w:p w14:paraId="059721F7">
            <w:pPr>
              <w:spacing w:line="360" w:lineRule="auto"/>
              <w:rPr>
                <w:rFonts w:hint="eastAsia" w:ascii="仿宋" w:hAnsi="仿宋" w:eastAsia="仿宋" w:cs="仿宋"/>
                <w:color w:val="auto"/>
                <w:szCs w:val="21"/>
                <w:highlight w:val="none"/>
              </w:rPr>
            </w:pPr>
            <w:r>
              <w:rPr>
                <w:rFonts w:hint="eastAsia" w:ascii="仿宋" w:hAnsi="仿宋" w:eastAsia="仿宋" w:cs="仿宋"/>
                <w:color w:val="auto"/>
                <w:sz w:val="21"/>
                <w:szCs w:val="21"/>
                <w:highlight w:val="none"/>
              </w:rPr>
              <w:t xml:space="preserve">      年  月  日</w:t>
            </w:r>
          </w:p>
        </w:tc>
      </w:tr>
    </w:tbl>
    <w:p w14:paraId="78350ADD">
      <w:pPr>
        <w:pStyle w:val="2"/>
        <w:rPr>
          <w:color w:val="auto"/>
          <w:sz w:val="21"/>
          <w:szCs w:val="21"/>
          <w:highlight w:val="none"/>
        </w:rPr>
      </w:pPr>
      <w:r>
        <w:rPr>
          <w:color w:val="auto"/>
          <w:sz w:val="21"/>
          <w:szCs w:val="21"/>
          <w:highlight w:val="none"/>
        </w:rPr>
        <w:br w:type="page"/>
      </w:r>
    </w:p>
    <w:p w14:paraId="25EEC788">
      <w:pPr>
        <w:pStyle w:val="2"/>
        <w:rPr>
          <w:color w:val="auto"/>
          <w:sz w:val="21"/>
          <w:szCs w:val="21"/>
          <w:highlight w:val="none"/>
        </w:rPr>
      </w:pPr>
    </w:p>
    <w:p w14:paraId="54698100">
      <w:pPr>
        <w:pStyle w:val="2"/>
        <w:rPr>
          <w:rFonts w:hint="eastAsia" w:ascii="仿宋" w:hAnsi="仿宋" w:cs="仿宋"/>
          <w:b/>
          <w:color w:val="auto"/>
          <w:kern w:val="0"/>
          <w:sz w:val="21"/>
          <w:szCs w:val="21"/>
          <w:highlight w:val="none"/>
          <w:lang w:eastAsia="zh-CN" w:bidi="ar"/>
        </w:rPr>
      </w:pPr>
      <w:r>
        <w:rPr>
          <w:rFonts w:hint="eastAsia" w:ascii="仿宋" w:hAnsi="仿宋" w:cs="仿宋"/>
          <w:b/>
          <w:color w:val="auto"/>
          <w:kern w:val="0"/>
          <w:sz w:val="21"/>
          <w:szCs w:val="21"/>
          <w:highlight w:val="none"/>
          <w:lang w:eastAsia="zh-CN" w:bidi="ar"/>
        </w:rPr>
        <w:t>附件1：医院中联医院信息系统维护范围清单：</w:t>
      </w:r>
    </w:p>
    <w:tbl>
      <w:tblPr>
        <w:tblStyle w:val="9"/>
        <w:tblW w:w="5000" w:type="pct"/>
        <w:tblInd w:w="0" w:type="dxa"/>
        <w:tblLayout w:type="autofit"/>
        <w:tblCellMar>
          <w:top w:w="0" w:type="dxa"/>
          <w:left w:w="108" w:type="dxa"/>
          <w:bottom w:w="0" w:type="dxa"/>
          <w:right w:w="108" w:type="dxa"/>
        </w:tblCellMar>
      </w:tblPr>
      <w:tblGrid>
        <w:gridCol w:w="2710"/>
        <w:gridCol w:w="7144"/>
      </w:tblGrid>
      <w:tr w14:paraId="6277E06E">
        <w:tblPrEx>
          <w:tblCellMar>
            <w:top w:w="0" w:type="dxa"/>
            <w:left w:w="108" w:type="dxa"/>
            <w:bottom w:w="0" w:type="dxa"/>
            <w:right w:w="108" w:type="dxa"/>
          </w:tblCellMar>
        </w:tblPrEx>
        <w:trPr>
          <w:trHeight w:val="375" w:hRule="atLeast"/>
        </w:trPr>
        <w:tc>
          <w:tcPr>
            <w:tcW w:w="5000" w:type="pct"/>
            <w:gridSpan w:val="2"/>
            <w:tcBorders>
              <w:top w:val="single" w:color="auto" w:sz="4" w:space="0"/>
              <w:left w:val="single" w:color="auto" w:sz="4" w:space="0"/>
              <w:bottom w:val="single" w:color="auto" w:sz="4" w:space="0"/>
              <w:right w:val="single" w:color="auto" w:sz="4" w:space="0"/>
            </w:tcBorders>
            <w:vAlign w:val="center"/>
          </w:tcPr>
          <w:p w14:paraId="61DC49B1">
            <w:pPr>
              <w:snapToGrid w:val="0"/>
              <w:spacing w:line="360" w:lineRule="auto"/>
              <w:jc w:val="center"/>
              <w:rPr>
                <w:rFonts w:ascii="仿宋" w:hAnsi="仿宋" w:eastAsia="仿宋" w:cs="仿宋"/>
                <w:b/>
                <w:color w:val="auto"/>
                <w:kern w:val="0"/>
                <w:sz w:val="21"/>
                <w:szCs w:val="21"/>
                <w:highlight w:val="none"/>
              </w:rPr>
            </w:pPr>
            <w:r>
              <w:rPr>
                <w:rFonts w:hint="eastAsia" w:ascii="仿宋" w:hAnsi="仿宋" w:eastAsia="仿宋" w:cs="仿宋"/>
                <w:b/>
                <w:color w:val="auto"/>
                <w:kern w:val="0"/>
                <w:sz w:val="21"/>
                <w:szCs w:val="21"/>
                <w:highlight w:val="none"/>
              </w:rPr>
              <w:t>陕西省交通医院中联医院信息系统汇总表</w:t>
            </w:r>
          </w:p>
        </w:tc>
      </w:tr>
      <w:tr w14:paraId="45227DFB">
        <w:tblPrEx>
          <w:tblCellMar>
            <w:top w:w="0" w:type="dxa"/>
            <w:left w:w="108" w:type="dxa"/>
            <w:bottom w:w="0" w:type="dxa"/>
            <w:right w:w="108" w:type="dxa"/>
          </w:tblCellMar>
        </w:tblPrEx>
        <w:trPr>
          <w:trHeight w:val="375" w:hRule="atLeast"/>
        </w:trPr>
        <w:tc>
          <w:tcPr>
            <w:tcW w:w="1375" w:type="pct"/>
            <w:tcBorders>
              <w:top w:val="single" w:color="auto" w:sz="4" w:space="0"/>
              <w:left w:val="single" w:color="auto" w:sz="4" w:space="0"/>
              <w:bottom w:val="single" w:color="auto" w:sz="4" w:space="0"/>
              <w:right w:val="single" w:color="auto" w:sz="4" w:space="0"/>
            </w:tcBorders>
            <w:vAlign w:val="center"/>
          </w:tcPr>
          <w:p w14:paraId="41709509">
            <w:pPr>
              <w:snapToGrid w:val="0"/>
              <w:spacing w:line="360" w:lineRule="auto"/>
              <w:jc w:val="center"/>
              <w:rPr>
                <w:rFonts w:ascii="仿宋" w:hAnsi="仿宋" w:eastAsia="仿宋" w:cs="仿宋"/>
                <w:b/>
                <w:color w:val="auto"/>
                <w:kern w:val="0"/>
                <w:sz w:val="21"/>
                <w:szCs w:val="21"/>
                <w:highlight w:val="none"/>
              </w:rPr>
            </w:pPr>
            <w:r>
              <w:rPr>
                <w:rFonts w:hint="eastAsia" w:ascii="仿宋" w:hAnsi="仿宋" w:eastAsia="仿宋" w:cs="仿宋"/>
                <w:b/>
                <w:color w:val="auto"/>
                <w:kern w:val="0"/>
                <w:sz w:val="21"/>
                <w:szCs w:val="21"/>
                <w:highlight w:val="none"/>
              </w:rPr>
              <w:t>信息系统名称</w:t>
            </w:r>
          </w:p>
        </w:tc>
        <w:tc>
          <w:tcPr>
            <w:tcW w:w="3624" w:type="pct"/>
            <w:tcBorders>
              <w:top w:val="single" w:color="auto" w:sz="4" w:space="0"/>
              <w:left w:val="single" w:color="auto" w:sz="4" w:space="0"/>
              <w:bottom w:val="single" w:color="auto" w:sz="4" w:space="0"/>
              <w:right w:val="single" w:color="auto" w:sz="4" w:space="0"/>
            </w:tcBorders>
            <w:vAlign w:val="center"/>
          </w:tcPr>
          <w:p w14:paraId="42F4C720">
            <w:pPr>
              <w:snapToGrid w:val="0"/>
              <w:spacing w:line="360" w:lineRule="auto"/>
              <w:jc w:val="center"/>
              <w:rPr>
                <w:rFonts w:ascii="仿宋" w:hAnsi="仿宋" w:eastAsia="仿宋" w:cs="仿宋"/>
                <w:b/>
                <w:color w:val="auto"/>
                <w:kern w:val="0"/>
                <w:sz w:val="21"/>
                <w:szCs w:val="21"/>
                <w:highlight w:val="none"/>
              </w:rPr>
            </w:pPr>
            <w:r>
              <w:rPr>
                <w:rFonts w:hint="eastAsia" w:ascii="仿宋" w:hAnsi="仿宋" w:eastAsia="仿宋" w:cs="仿宋"/>
                <w:b/>
                <w:color w:val="auto"/>
                <w:kern w:val="0"/>
                <w:sz w:val="21"/>
                <w:szCs w:val="21"/>
                <w:highlight w:val="none"/>
              </w:rPr>
              <w:t>子系统名称</w:t>
            </w:r>
          </w:p>
        </w:tc>
      </w:tr>
      <w:tr w14:paraId="1F9EFA60">
        <w:tblPrEx>
          <w:tblCellMar>
            <w:top w:w="0" w:type="dxa"/>
            <w:left w:w="108" w:type="dxa"/>
            <w:bottom w:w="0" w:type="dxa"/>
            <w:right w:w="108" w:type="dxa"/>
          </w:tblCellMar>
        </w:tblPrEx>
        <w:trPr>
          <w:trHeight w:val="375" w:hRule="atLeast"/>
        </w:trPr>
        <w:tc>
          <w:tcPr>
            <w:tcW w:w="1375" w:type="pct"/>
            <w:vMerge w:val="restart"/>
            <w:tcBorders>
              <w:top w:val="nil"/>
              <w:left w:val="single" w:color="auto" w:sz="4" w:space="0"/>
              <w:bottom w:val="single" w:color="auto" w:sz="4" w:space="0"/>
              <w:right w:val="single" w:color="auto" w:sz="4" w:space="0"/>
            </w:tcBorders>
            <w:vAlign w:val="center"/>
          </w:tcPr>
          <w:p w14:paraId="6E47CCD2">
            <w:pPr>
              <w:snapToGrid w:val="0"/>
              <w:spacing w:line="360" w:lineRule="auto"/>
              <w:jc w:val="center"/>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医院基础信息系统</w:t>
            </w:r>
          </w:p>
          <w:p w14:paraId="2F66FCC3">
            <w:pPr>
              <w:snapToGrid w:val="0"/>
              <w:spacing w:line="360" w:lineRule="auto"/>
              <w:jc w:val="center"/>
              <w:rPr>
                <w:rFonts w:ascii="仿宋" w:hAnsi="仿宋" w:eastAsia="仿宋" w:cs="仿宋"/>
                <w:color w:val="auto"/>
                <w:sz w:val="21"/>
                <w:szCs w:val="21"/>
                <w:highlight w:val="none"/>
              </w:rPr>
            </w:pPr>
            <w:r>
              <w:rPr>
                <w:rFonts w:hint="eastAsia" w:ascii="仿宋" w:hAnsi="仿宋" w:eastAsia="仿宋" w:cs="仿宋"/>
                <w:color w:val="auto"/>
                <w:kern w:val="0"/>
                <w:sz w:val="21"/>
                <w:szCs w:val="21"/>
                <w:highlight w:val="none"/>
              </w:rPr>
              <w:t>（HIS）</w:t>
            </w:r>
          </w:p>
        </w:tc>
        <w:tc>
          <w:tcPr>
            <w:tcW w:w="3624" w:type="pct"/>
            <w:tcBorders>
              <w:top w:val="nil"/>
              <w:left w:val="single" w:color="auto" w:sz="4" w:space="0"/>
              <w:bottom w:val="single" w:color="auto" w:sz="4" w:space="0"/>
              <w:right w:val="single" w:color="auto" w:sz="4" w:space="0"/>
            </w:tcBorders>
            <w:vAlign w:val="center"/>
          </w:tcPr>
          <w:p w14:paraId="64358372">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门急诊挂号系统</w:t>
            </w:r>
          </w:p>
        </w:tc>
      </w:tr>
      <w:tr w14:paraId="171AC6E9">
        <w:tblPrEx>
          <w:tblCellMar>
            <w:top w:w="0" w:type="dxa"/>
            <w:left w:w="108" w:type="dxa"/>
            <w:bottom w:w="0" w:type="dxa"/>
            <w:right w:w="108" w:type="dxa"/>
          </w:tblCellMar>
        </w:tblPrEx>
        <w:trPr>
          <w:trHeight w:val="375" w:hRule="atLeast"/>
        </w:trPr>
        <w:tc>
          <w:tcPr>
            <w:tcW w:w="1375" w:type="pct"/>
            <w:vMerge w:val="continue"/>
            <w:tcBorders>
              <w:top w:val="nil"/>
              <w:left w:val="single" w:color="auto" w:sz="4" w:space="0"/>
              <w:bottom w:val="single" w:color="auto" w:sz="4" w:space="0"/>
              <w:right w:val="single" w:color="auto" w:sz="4" w:space="0"/>
            </w:tcBorders>
            <w:vAlign w:val="center"/>
          </w:tcPr>
          <w:p w14:paraId="09F4E9E2">
            <w:pPr>
              <w:snapToGrid w:val="0"/>
              <w:spacing w:line="360" w:lineRule="auto"/>
              <w:jc w:val="center"/>
              <w:rPr>
                <w:rFonts w:ascii="仿宋" w:hAnsi="仿宋" w:eastAsia="仿宋" w:cs="仿宋"/>
                <w:color w:val="auto"/>
                <w:kern w:val="0"/>
                <w:sz w:val="21"/>
                <w:szCs w:val="21"/>
                <w:highlight w:val="none"/>
              </w:rPr>
            </w:pPr>
          </w:p>
        </w:tc>
        <w:tc>
          <w:tcPr>
            <w:tcW w:w="3624" w:type="pct"/>
            <w:tcBorders>
              <w:top w:val="nil"/>
              <w:left w:val="single" w:color="auto" w:sz="4" w:space="0"/>
              <w:bottom w:val="single" w:color="auto" w:sz="4" w:space="0"/>
              <w:right w:val="single" w:color="auto" w:sz="4" w:space="0"/>
            </w:tcBorders>
            <w:vAlign w:val="center"/>
          </w:tcPr>
          <w:p w14:paraId="35062E6A">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门急诊收费系统</w:t>
            </w:r>
          </w:p>
        </w:tc>
      </w:tr>
      <w:tr w14:paraId="2DBC64CA">
        <w:tblPrEx>
          <w:tblCellMar>
            <w:top w:w="0" w:type="dxa"/>
            <w:left w:w="108" w:type="dxa"/>
            <w:bottom w:w="0" w:type="dxa"/>
            <w:right w:w="108" w:type="dxa"/>
          </w:tblCellMar>
        </w:tblPrEx>
        <w:trPr>
          <w:trHeight w:val="375" w:hRule="atLeast"/>
        </w:trPr>
        <w:tc>
          <w:tcPr>
            <w:tcW w:w="1375" w:type="pct"/>
            <w:vMerge w:val="continue"/>
            <w:tcBorders>
              <w:top w:val="nil"/>
              <w:left w:val="single" w:color="auto" w:sz="4" w:space="0"/>
              <w:bottom w:val="single" w:color="auto" w:sz="4" w:space="0"/>
              <w:right w:val="single" w:color="auto" w:sz="4" w:space="0"/>
            </w:tcBorders>
            <w:vAlign w:val="center"/>
          </w:tcPr>
          <w:p w14:paraId="6CCB3E62">
            <w:pPr>
              <w:snapToGrid w:val="0"/>
              <w:spacing w:line="360" w:lineRule="auto"/>
              <w:jc w:val="center"/>
              <w:rPr>
                <w:rFonts w:ascii="仿宋" w:hAnsi="仿宋" w:eastAsia="仿宋" w:cs="仿宋"/>
                <w:color w:val="auto"/>
                <w:kern w:val="0"/>
                <w:sz w:val="21"/>
                <w:szCs w:val="21"/>
                <w:highlight w:val="none"/>
              </w:rPr>
            </w:pPr>
          </w:p>
        </w:tc>
        <w:tc>
          <w:tcPr>
            <w:tcW w:w="3624" w:type="pct"/>
            <w:tcBorders>
              <w:top w:val="nil"/>
              <w:left w:val="single" w:color="auto" w:sz="4" w:space="0"/>
              <w:bottom w:val="single" w:color="auto" w:sz="4" w:space="0"/>
              <w:right w:val="single" w:color="auto" w:sz="4" w:space="0"/>
            </w:tcBorders>
            <w:vAlign w:val="center"/>
          </w:tcPr>
          <w:p w14:paraId="4D3A9F39">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住院费用管理系统</w:t>
            </w:r>
          </w:p>
        </w:tc>
      </w:tr>
      <w:tr w14:paraId="026208F4">
        <w:tblPrEx>
          <w:tblCellMar>
            <w:top w:w="0" w:type="dxa"/>
            <w:left w:w="108" w:type="dxa"/>
            <w:bottom w:w="0" w:type="dxa"/>
            <w:right w:w="108" w:type="dxa"/>
          </w:tblCellMar>
        </w:tblPrEx>
        <w:trPr>
          <w:trHeight w:val="375" w:hRule="atLeast"/>
        </w:trPr>
        <w:tc>
          <w:tcPr>
            <w:tcW w:w="1375" w:type="pct"/>
            <w:vMerge w:val="continue"/>
            <w:tcBorders>
              <w:top w:val="nil"/>
              <w:left w:val="single" w:color="auto" w:sz="4" w:space="0"/>
              <w:bottom w:val="single" w:color="auto" w:sz="4" w:space="0"/>
              <w:right w:val="single" w:color="auto" w:sz="4" w:space="0"/>
            </w:tcBorders>
            <w:vAlign w:val="center"/>
          </w:tcPr>
          <w:p w14:paraId="1D2946E4">
            <w:pPr>
              <w:snapToGrid w:val="0"/>
              <w:spacing w:line="360" w:lineRule="auto"/>
              <w:jc w:val="center"/>
              <w:rPr>
                <w:rFonts w:ascii="仿宋" w:hAnsi="仿宋" w:eastAsia="仿宋" w:cs="仿宋"/>
                <w:color w:val="auto"/>
                <w:kern w:val="0"/>
                <w:sz w:val="21"/>
                <w:szCs w:val="21"/>
                <w:highlight w:val="none"/>
              </w:rPr>
            </w:pPr>
          </w:p>
        </w:tc>
        <w:tc>
          <w:tcPr>
            <w:tcW w:w="3624" w:type="pct"/>
            <w:tcBorders>
              <w:top w:val="nil"/>
              <w:left w:val="single" w:color="auto" w:sz="4" w:space="0"/>
              <w:bottom w:val="single" w:color="auto" w:sz="4" w:space="0"/>
              <w:right w:val="single" w:color="auto" w:sz="4" w:space="0"/>
            </w:tcBorders>
            <w:vAlign w:val="center"/>
          </w:tcPr>
          <w:p w14:paraId="1192EA39">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门诊中西医药房管理系统</w:t>
            </w:r>
          </w:p>
        </w:tc>
      </w:tr>
      <w:tr w14:paraId="04EBC7E7">
        <w:tblPrEx>
          <w:tblCellMar>
            <w:top w:w="0" w:type="dxa"/>
            <w:left w:w="108" w:type="dxa"/>
            <w:bottom w:w="0" w:type="dxa"/>
            <w:right w:w="108" w:type="dxa"/>
          </w:tblCellMar>
        </w:tblPrEx>
        <w:trPr>
          <w:trHeight w:val="375" w:hRule="atLeast"/>
        </w:trPr>
        <w:tc>
          <w:tcPr>
            <w:tcW w:w="1375" w:type="pct"/>
            <w:vMerge w:val="continue"/>
            <w:tcBorders>
              <w:top w:val="nil"/>
              <w:left w:val="single" w:color="auto" w:sz="4" w:space="0"/>
              <w:bottom w:val="single" w:color="auto" w:sz="4" w:space="0"/>
              <w:right w:val="single" w:color="auto" w:sz="4" w:space="0"/>
            </w:tcBorders>
            <w:vAlign w:val="center"/>
          </w:tcPr>
          <w:p w14:paraId="77352144">
            <w:pPr>
              <w:snapToGrid w:val="0"/>
              <w:spacing w:line="360" w:lineRule="auto"/>
              <w:jc w:val="center"/>
              <w:rPr>
                <w:rFonts w:ascii="仿宋" w:hAnsi="仿宋" w:eastAsia="仿宋" w:cs="仿宋"/>
                <w:color w:val="auto"/>
                <w:kern w:val="0"/>
                <w:sz w:val="21"/>
                <w:szCs w:val="21"/>
                <w:highlight w:val="none"/>
              </w:rPr>
            </w:pPr>
          </w:p>
        </w:tc>
        <w:tc>
          <w:tcPr>
            <w:tcW w:w="3624" w:type="pct"/>
            <w:tcBorders>
              <w:top w:val="nil"/>
              <w:left w:val="single" w:color="auto" w:sz="4" w:space="0"/>
              <w:bottom w:val="single" w:color="auto" w:sz="4" w:space="0"/>
              <w:right w:val="single" w:color="auto" w:sz="4" w:space="0"/>
            </w:tcBorders>
            <w:vAlign w:val="center"/>
          </w:tcPr>
          <w:p w14:paraId="57859A18">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住院药房管理系统</w:t>
            </w:r>
          </w:p>
        </w:tc>
      </w:tr>
      <w:tr w14:paraId="485105FA">
        <w:tblPrEx>
          <w:tblCellMar>
            <w:top w:w="0" w:type="dxa"/>
            <w:left w:w="108" w:type="dxa"/>
            <w:bottom w:w="0" w:type="dxa"/>
            <w:right w:w="108" w:type="dxa"/>
          </w:tblCellMar>
        </w:tblPrEx>
        <w:trPr>
          <w:trHeight w:val="375" w:hRule="atLeast"/>
        </w:trPr>
        <w:tc>
          <w:tcPr>
            <w:tcW w:w="1375" w:type="pct"/>
            <w:vMerge w:val="continue"/>
            <w:tcBorders>
              <w:top w:val="nil"/>
              <w:left w:val="single" w:color="auto" w:sz="4" w:space="0"/>
              <w:bottom w:val="single" w:color="auto" w:sz="4" w:space="0"/>
              <w:right w:val="single" w:color="auto" w:sz="4" w:space="0"/>
            </w:tcBorders>
            <w:vAlign w:val="center"/>
          </w:tcPr>
          <w:p w14:paraId="67D64219">
            <w:pPr>
              <w:snapToGrid w:val="0"/>
              <w:spacing w:line="360" w:lineRule="auto"/>
              <w:jc w:val="center"/>
              <w:rPr>
                <w:rFonts w:ascii="仿宋" w:hAnsi="仿宋" w:eastAsia="仿宋" w:cs="仿宋"/>
                <w:color w:val="auto"/>
                <w:kern w:val="0"/>
                <w:sz w:val="21"/>
                <w:szCs w:val="21"/>
                <w:highlight w:val="none"/>
              </w:rPr>
            </w:pPr>
          </w:p>
        </w:tc>
        <w:tc>
          <w:tcPr>
            <w:tcW w:w="3624" w:type="pct"/>
            <w:tcBorders>
              <w:top w:val="nil"/>
              <w:left w:val="single" w:color="auto" w:sz="4" w:space="0"/>
              <w:bottom w:val="single" w:color="auto" w:sz="4" w:space="0"/>
              <w:right w:val="single" w:color="auto" w:sz="4" w:space="0"/>
            </w:tcBorders>
            <w:vAlign w:val="center"/>
          </w:tcPr>
          <w:p w14:paraId="5F2EEF28">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住院病人入出转管理系统</w:t>
            </w:r>
          </w:p>
        </w:tc>
      </w:tr>
      <w:tr w14:paraId="3BDFB41C">
        <w:tblPrEx>
          <w:tblCellMar>
            <w:top w:w="0" w:type="dxa"/>
            <w:left w:w="108" w:type="dxa"/>
            <w:bottom w:w="0" w:type="dxa"/>
            <w:right w:w="108" w:type="dxa"/>
          </w:tblCellMar>
        </w:tblPrEx>
        <w:trPr>
          <w:trHeight w:val="375" w:hRule="atLeast"/>
        </w:trPr>
        <w:tc>
          <w:tcPr>
            <w:tcW w:w="1375" w:type="pct"/>
            <w:vMerge w:val="restart"/>
            <w:tcBorders>
              <w:top w:val="nil"/>
              <w:left w:val="single" w:color="auto" w:sz="4" w:space="0"/>
              <w:bottom w:val="single" w:color="auto" w:sz="4" w:space="0"/>
              <w:right w:val="single" w:color="auto" w:sz="4" w:space="0"/>
            </w:tcBorders>
            <w:vAlign w:val="center"/>
          </w:tcPr>
          <w:p w14:paraId="5D8B8AB5">
            <w:pPr>
              <w:snapToGrid w:val="0"/>
              <w:spacing w:line="360" w:lineRule="auto"/>
              <w:jc w:val="center"/>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临床信息系统</w:t>
            </w:r>
            <w:r>
              <w:rPr>
                <w:rFonts w:hint="eastAsia" w:ascii="仿宋" w:hAnsi="仿宋" w:eastAsia="仿宋" w:cs="仿宋"/>
                <w:color w:val="auto"/>
                <w:kern w:val="0"/>
                <w:sz w:val="21"/>
                <w:szCs w:val="21"/>
                <w:highlight w:val="none"/>
              </w:rPr>
              <w:br w:type="textWrapping"/>
            </w:r>
            <w:r>
              <w:rPr>
                <w:rFonts w:hint="eastAsia" w:ascii="仿宋" w:hAnsi="仿宋" w:eastAsia="仿宋" w:cs="仿宋"/>
                <w:color w:val="auto"/>
                <w:kern w:val="0"/>
                <w:sz w:val="21"/>
                <w:szCs w:val="21"/>
                <w:highlight w:val="none"/>
              </w:rPr>
              <w:t>（CIS）</w:t>
            </w:r>
          </w:p>
        </w:tc>
        <w:tc>
          <w:tcPr>
            <w:tcW w:w="3624" w:type="pct"/>
            <w:tcBorders>
              <w:top w:val="nil"/>
              <w:left w:val="single" w:color="auto" w:sz="4" w:space="0"/>
              <w:bottom w:val="single" w:color="auto" w:sz="4" w:space="0"/>
              <w:right w:val="single" w:color="auto" w:sz="4" w:space="0"/>
            </w:tcBorders>
            <w:vAlign w:val="center"/>
          </w:tcPr>
          <w:p w14:paraId="663F18CC">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门急诊医生工作站</w:t>
            </w:r>
          </w:p>
        </w:tc>
      </w:tr>
      <w:tr w14:paraId="17FEC663">
        <w:tblPrEx>
          <w:tblCellMar>
            <w:top w:w="0" w:type="dxa"/>
            <w:left w:w="108" w:type="dxa"/>
            <w:bottom w:w="0" w:type="dxa"/>
            <w:right w:w="108" w:type="dxa"/>
          </w:tblCellMar>
        </w:tblPrEx>
        <w:trPr>
          <w:trHeight w:val="375" w:hRule="atLeast"/>
        </w:trPr>
        <w:tc>
          <w:tcPr>
            <w:tcW w:w="1375" w:type="pct"/>
            <w:vMerge w:val="continue"/>
            <w:tcBorders>
              <w:top w:val="nil"/>
              <w:left w:val="single" w:color="auto" w:sz="4" w:space="0"/>
              <w:bottom w:val="single" w:color="auto" w:sz="4" w:space="0"/>
              <w:right w:val="single" w:color="auto" w:sz="4" w:space="0"/>
            </w:tcBorders>
            <w:vAlign w:val="center"/>
          </w:tcPr>
          <w:p w14:paraId="67D06BB6">
            <w:pPr>
              <w:snapToGrid w:val="0"/>
              <w:spacing w:line="360" w:lineRule="auto"/>
              <w:jc w:val="center"/>
              <w:rPr>
                <w:rFonts w:ascii="仿宋" w:hAnsi="仿宋" w:eastAsia="仿宋" w:cs="仿宋"/>
                <w:color w:val="auto"/>
                <w:kern w:val="0"/>
                <w:sz w:val="21"/>
                <w:szCs w:val="21"/>
                <w:highlight w:val="none"/>
              </w:rPr>
            </w:pPr>
          </w:p>
        </w:tc>
        <w:tc>
          <w:tcPr>
            <w:tcW w:w="3624" w:type="pct"/>
            <w:tcBorders>
              <w:top w:val="nil"/>
              <w:left w:val="single" w:color="auto" w:sz="4" w:space="0"/>
              <w:bottom w:val="single" w:color="auto" w:sz="4" w:space="0"/>
              <w:right w:val="single" w:color="auto" w:sz="4" w:space="0"/>
            </w:tcBorders>
            <w:vAlign w:val="center"/>
          </w:tcPr>
          <w:p w14:paraId="44266FF0">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住院医生工作站</w:t>
            </w:r>
          </w:p>
        </w:tc>
      </w:tr>
      <w:tr w14:paraId="26F7C0EC">
        <w:tblPrEx>
          <w:tblCellMar>
            <w:top w:w="0" w:type="dxa"/>
            <w:left w:w="108" w:type="dxa"/>
            <w:bottom w:w="0" w:type="dxa"/>
            <w:right w:w="108" w:type="dxa"/>
          </w:tblCellMar>
        </w:tblPrEx>
        <w:trPr>
          <w:trHeight w:val="375" w:hRule="atLeast"/>
        </w:trPr>
        <w:tc>
          <w:tcPr>
            <w:tcW w:w="1375" w:type="pct"/>
            <w:vMerge w:val="continue"/>
            <w:tcBorders>
              <w:top w:val="nil"/>
              <w:left w:val="single" w:color="auto" w:sz="4" w:space="0"/>
              <w:bottom w:val="single" w:color="auto" w:sz="4" w:space="0"/>
              <w:right w:val="single" w:color="auto" w:sz="4" w:space="0"/>
            </w:tcBorders>
            <w:vAlign w:val="center"/>
          </w:tcPr>
          <w:p w14:paraId="09EBA15E">
            <w:pPr>
              <w:snapToGrid w:val="0"/>
              <w:spacing w:line="360" w:lineRule="auto"/>
              <w:jc w:val="center"/>
              <w:rPr>
                <w:rFonts w:ascii="仿宋" w:hAnsi="仿宋" w:eastAsia="仿宋" w:cs="仿宋"/>
                <w:color w:val="auto"/>
                <w:kern w:val="0"/>
                <w:sz w:val="21"/>
                <w:szCs w:val="21"/>
                <w:highlight w:val="none"/>
              </w:rPr>
            </w:pPr>
          </w:p>
        </w:tc>
        <w:tc>
          <w:tcPr>
            <w:tcW w:w="3624" w:type="pct"/>
            <w:tcBorders>
              <w:top w:val="nil"/>
              <w:left w:val="single" w:color="auto" w:sz="4" w:space="0"/>
              <w:bottom w:val="single" w:color="auto" w:sz="4" w:space="0"/>
              <w:right w:val="single" w:color="auto" w:sz="4" w:space="0"/>
            </w:tcBorders>
            <w:vAlign w:val="center"/>
          </w:tcPr>
          <w:p w14:paraId="52D2ABC8">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病区护士工作站</w:t>
            </w:r>
          </w:p>
        </w:tc>
      </w:tr>
      <w:tr w14:paraId="04580963">
        <w:tblPrEx>
          <w:tblCellMar>
            <w:top w:w="0" w:type="dxa"/>
            <w:left w:w="108" w:type="dxa"/>
            <w:bottom w:w="0" w:type="dxa"/>
            <w:right w:w="108" w:type="dxa"/>
          </w:tblCellMar>
        </w:tblPrEx>
        <w:trPr>
          <w:trHeight w:val="375" w:hRule="atLeast"/>
        </w:trPr>
        <w:tc>
          <w:tcPr>
            <w:tcW w:w="1375" w:type="pct"/>
            <w:vMerge w:val="restart"/>
            <w:tcBorders>
              <w:top w:val="nil"/>
              <w:left w:val="single" w:color="auto" w:sz="4" w:space="0"/>
              <w:bottom w:val="single" w:color="auto" w:sz="4" w:space="0"/>
              <w:right w:val="single" w:color="auto" w:sz="4" w:space="0"/>
            </w:tcBorders>
            <w:vAlign w:val="center"/>
          </w:tcPr>
          <w:p w14:paraId="6CE1D787">
            <w:pPr>
              <w:snapToGrid w:val="0"/>
              <w:spacing w:line="360" w:lineRule="auto"/>
              <w:jc w:val="center"/>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新版电子病历系统</w:t>
            </w:r>
            <w:r>
              <w:rPr>
                <w:rFonts w:hint="eastAsia" w:ascii="仿宋" w:hAnsi="仿宋" w:eastAsia="仿宋" w:cs="仿宋"/>
                <w:color w:val="auto"/>
                <w:kern w:val="0"/>
                <w:sz w:val="21"/>
                <w:szCs w:val="21"/>
                <w:highlight w:val="none"/>
              </w:rPr>
              <w:br w:type="textWrapping"/>
            </w:r>
            <w:r>
              <w:rPr>
                <w:rFonts w:hint="eastAsia" w:ascii="仿宋" w:hAnsi="仿宋" w:eastAsia="仿宋" w:cs="仿宋"/>
                <w:color w:val="auto"/>
                <w:kern w:val="0"/>
                <w:sz w:val="21"/>
                <w:szCs w:val="21"/>
                <w:highlight w:val="none"/>
              </w:rPr>
              <w:t>（EMR）</w:t>
            </w:r>
          </w:p>
        </w:tc>
        <w:tc>
          <w:tcPr>
            <w:tcW w:w="3624" w:type="pct"/>
            <w:tcBorders>
              <w:top w:val="nil"/>
              <w:left w:val="single" w:color="auto" w:sz="4" w:space="0"/>
              <w:bottom w:val="single" w:color="auto" w:sz="4" w:space="0"/>
              <w:right w:val="single" w:color="auto" w:sz="4" w:space="0"/>
            </w:tcBorders>
            <w:vAlign w:val="center"/>
          </w:tcPr>
          <w:p w14:paraId="43CEDFC5">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一体化门急诊电子病历系统</w:t>
            </w:r>
          </w:p>
        </w:tc>
      </w:tr>
      <w:tr w14:paraId="2D3C3A47">
        <w:tblPrEx>
          <w:tblCellMar>
            <w:top w:w="0" w:type="dxa"/>
            <w:left w:w="108" w:type="dxa"/>
            <w:bottom w:w="0" w:type="dxa"/>
            <w:right w:w="108" w:type="dxa"/>
          </w:tblCellMar>
        </w:tblPrEx>
        <w:trPr>
          <w:trHeight w:val="375" w:hRule="atLeast"/>
        </w:trPr>
        <w:tc>
          <w:tcPr>
            <w:tcW w:w="1375" w:type="pct"/>
            <w:vMerge w:val="continue"/>
            <w:tcBorders>
              <w:top w:val="nil"/>
              <w:left w:val="single" w:color="auto" w:sz="4" w:space="0"/>
              <w:bottom w:val="single" w:color="auto" w:sz="4" w:space="0"/>
              <w:right w:val="single" w:color="auto" w:sz="4" w:space="0"/>
            </w:tcBorders>
            <w:vAlign w:val="center"/>
          </w:tcPr>
          <w:p w14:paraId="27E1A41F">
            <w:pPr>
              <w:snapToGrid w:val="0"/>
              <w:spacing w:line="360" w:lineRule="auto"/>
              <w:jc w:val="center"/>
              <w:rPr>
                <w:rFonts w:ascii="仿宋" w:hAnsi="仿宋" w:eastAsia="仿宋" w:cs="仿宋"/>
                <w:color w:val="auto"/>
                <w:kern w:val="0"/>
                <w:sz w:val="21"/>
                <w:szCs w:val="21"/>
                <w:highlight w:val="none"/>
              </w:rPr>
            </w:pPr>
          </w:p>
        </w:tc>
        <w:tc>
          <w:tcPr>
            <w:tcW w:w="3624" w:type="pct"/>
            <w:tcBorders>
              <w:top w:val="nil"/>
              <w:left w:val="single" w:color="auto" w:sz="4" w:space="0"/>
              <w:bottom w:val="single" w:color="auto" w:sz="4" w:space="0"/>
              <w:right w:val="single" w:color="auto" w:sz="4" w:space="0"/>
            </w:tcBorders>
            <w:vAlign w:val="center"/>
          </w:tcPr>
          <w:p w14:paraId="60B3FB3B">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一体化住院电子病历系统</w:t>
            </w:r>
          </w:p>
        </w:tc>
      </w:tr>
      <w:tr w14:paraId="62101D6C">
        <w:tblPrEx>
          <w:tblCellMar>
            <w:top w:w="0" w:type="dxa"/>
            <w:left w:w="108" w:type="dxa"/>
            <w:bottom w:w="0" w:type="dxa"/>
            <w:right w:w="108" w:type="dxa"/>
          </w:tblCellMar>
        </w:tblPrEx>
        <w:trPr>
          <w:trHeight w:val="375" w:hRule="atLeast"/>
        </w:trPr>
        <w:tc>
          <w:tcPr>
            <w:tcW w:w="1375" w:type="pct"/>
            <w:vMerge w:val="continue"/>
            <w:tcBorders>
              <w:top w:val="nil"/>
              <w:left w:val="single" w:color="auto" w:sz="4" w:space="0"/>
              <w:bottom w:val="single" w:color="auto" w:sz="4" w:space="0"/>
              <w:right w:val="single" w:color="auto" w:sz="4" w:space="0"/>
            </w:tcBorders>
            <w:vAlign w:val="center"/>
          </w:tcPr>
          <w:p w14:paraId="6F14015D">
            <w:pPr>
              <w:snapToGrid w:val="0"/>
              <w:spacing w:line="360" w:lineRule="auto"/>
              <w:jc w:val="center"/>
              <w:rPr>
                <w:rFonts w:ascii="仿宋" w:hAnsi="仿宋" w:eastAsia="仿宋" w:cs="仿宋"/>
                <w:color w:val="auto"/>
                <w:kern w:val="0"/>
                <w:sz w:val="21"/>
                <w:szCs w:val="21"/>
                <w:highlight w:val="none"/>
              </w:rPr>
            </w:pPr>
          </w:p>
        </w:tc>
        <w:tc>
          <w:tcPr>
            <w:tcW w:w="3624" w:type="pct"/>
            <w:tcBorders>
              <w:top w:val="nil"/>
              <w:left w:val="single" w:color="auto" w:sz="4" w:space="0"/>
              <w:bottom w:val="single" w:color="auto" w:sz="4" w:space="0"/>
              <w:right w:val="single" w:color="auto" w:sz="4" w:space="0"/>
            </w:tcBorders>
            <w:vAlign w:val="center"/>
          </w:tcPr>
          <w:p w14:paraId="0E34AFF8">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一体化电子病历质控系统</w:t>
            </w:r>
          </w:p>
        </w:tc>
      </w:tr>
      <w:tr w14:paraId="260D6783">
        <w:tblPrEx>
          <w:tblCellMar>
            <w:top w:w="0" w:type="dxa"/>
            <w:left w:w="108" w:type="dxa"/>
            <w:bottom w:w="0" w:type="dxa"/>
            <w:right w:w="108" w:type="dxa"/>
          </w:tblCellMar>
        </w:tblPrEx>
        <w:trPr>
          <w:trHeight w:val="428" w:hRule="atLeast"/>
        </w:trPr>
        <w:tc>
          <w:tcPr>
            <w:tcW w:w="1375" w:type="pct"/>
            <w:vMerge w:val="restart"/>
            <w:tcBorders>
              <w:top w:val="nil"/>
              <w:left w:val="single" w:color="auto" w:sz="4" w:space="0"/>
              <w:right w:val="single" w:color="auto" w:sz="4" w:space="0"/>
            </w:tcBorders>
            <w:vAlign w:val="center"/>
          </w:tcPr>
          <w:p w14:paraId="5DCC8F9E">
            <w:pPr>
              <w:snapToGrid w:val="0"/>
              <w:spacing w:line="360" w:lineRule="auto"/>
              <w:jc w:val="center"/>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检验信息系统</w:t>
            </w:r>
            <w:r>
              <w:rPr>
                <w:rFonts w:hint="eastAsia" w:ascii="仿宋" w:hAnsi="仿宋" w:eastAsia="仿宋" w:cs="仿宋"/>
                <w:color w:val="auto"/>
                <w:kern w:val="0"/>
                <w:sz w:val="21"/>
                <w:szCs w:val="21"/>
                <w:highlight w:val="none"/>
              </w:rPr>
              <w:br w:type="textWrapping"/>
            </w:r>
            <w:r>
              <w:rPr>
                <w:rFonts w:hint="eastAsia" w:ascii="仿宋" w:hAnsi="仿宋" w:eastAsia="仿宋" w:cs="仿宋"/>
                <w:color w:val="auto"/>
                <w:kern w:val="0"/>
                <w:sz w:val="21"/>
                <w:szCs w:val="21"/>
                <w:highlight w:val="none"/>
              </w:rPr>
              <w:t>（LIS）</w:t>
            </w:r>
          </w:p>
        </w:tc>
        <w:tc>
          <w:tcPr>
            <w:tcW w:w="3624" w:type="pct"/>
            <w:tcBorders>
              <w:top w:val="nil"/>
              <w:left w:val="single" w:color="auto" w:sz="4" w:space="0"/>
              <w:bottom w:val="single" w:color="auto" w:sz="4" w:space="0"/>
              <w:right w:val="single" w:color="auto" w:sz="4" w:space="0"/>
            </w:tcBorders>
            <w:vAlign w:val="center"/>
          </w:tcPr>
          <w:p w14:paraId="01D6C343">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新检验信息系统</w:t>
            </w:r>
          </w:p>
        </w:tc>
      </w:tr>
      <w:tr w14:paraId="4B79B79A">
        <w:tblPrEx>
          <w:tblCellMar>
            <w:top w:w="0" w:type="dxa"/>
            <w:left w:w="108" w:type="dxa"/>
            <w:bottom w:w="0" w:type="dxa"/>
            <w:right w:w="108" w:type="dxa"/>
          </w:tblCellMar>
        </w:tblPrEx>
        <w:trPr>
          <w:trHeight w:val="427" w:hRule="atLeast"/>
        </w:trPr>
        <w:tc>
          <w:tcPr>
            <w:tcW w:w="1375" w:type="pct"/>
            <w:vMerge w:val="continue"/>
            <w:tcBorders>
              <w:left w:val="single" w:color="auto" w:sz="4" w:space="0"/>
              <w:bottom w:val="single" w:color="auto" w:sz="4" w:space="0"/>
              <w:right w:val="single" w:color="auto" w:sz="4" w:space="0"/>
            </w:tcBorders>
            <w:vAlign w:val="center"/>
          </w:tcPr>
          <w:p w14:paraId="7B240108">
            <w:pPr>
              <w:snapToGrid w:val="0"/>
              <w:spacing w:line="360" w:lineRule="auto"/>
              <w:jc w:val="center"/>
              <w:rPr>
                <w:rFonts w:ascii="仿宋" w:hAnsi="仿宋" w:eastAsia="仿宋" w:cs="仿宋"/>
                <w:color w:val="auto"/>
                <w:kern w:val="0"/>
                <w:sz w:val="21"/>
                <w:szCs w:val="21"/>
                <w:highlight w:val="none"/>
              </w:rPr>
            </w:pPr>
          </w:p>
        </w:tc>
        <w:tc>
          <w:tcPr>
            <w:tcW w:w="3624" w:type="pct"/>
            <w:tcBorders>
              <w:top w:val="nil"/>
              <w:left w:val="single" w:color="auto" w:sz="4" w:space="0"/>
              <w:bottom w:val="single" w:color="auto" w:sz="4" w:space="0"/>
              <w:right w:val="single" w:color="auto" w:sz="4" w:space="0"/>
            </w:tcBorders>
            <w:vAlign w:val="center"/>
          </w:tcPr>
          <w:p w14:paraId="4B4B92F5">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检查设备接口系统</w:t>
            </w:r>
          </w:p>
        </w:tc>
      </w:tr>
      <w:tr w14:paraId="17B7FD42">
        <w:tblPrEx>
          <w:tblCellMar>
            <w:top w:w="0" w:type="dxa"/>
            <w:left w:w="108" w:type="dxa"/>
            <w:bottom w:w="0" w:type="dxa"/>
            <w:right w:w="108" w:type="dxa"/>
          </w:tblCellMar>
        </w:tblPrEx>
        <w:trPr>
          <w:trHeight w:val="375" w:hRule="atLeast"/>
        </w:trPr>
        <w:tc>
          <w:tcPr>
            <w:tcW w:w="1375" w:type="pct"/>
            <w:vMerge w:val="restart"/>
            <w:tcBorders>
              <w:left w:val="single" w:color="auto" w:sz="4" w:space="0"/>
              <w:right w:val="single" w:color="auto" w:sz="4" w:space="0"/>
            </w:tcBorders>
            <w:vAlign w:val="center"/>
          </w:tcPr>
          <w:p w14:paraId="32F27550">
            <w:pPr>
              <w:snapToGrid w:val="0"/>
              <w:spacing w:line="360" w:lineRule="auto"/>
              <w:jc w:val="center"/>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医学影像系统</w:t>
            </w:r>
          </w:p>
          <w:p w14:paraId="7C299E28">
            <w:pPr>
              <w:snapToGrid w:val="0"/>
              <w:spacing w:line="360" w:lineRule="auto"/>
              <w:jc w:val="center"/>
              <w:rPr>
                <w:rFonts w:ascii="仿宋" w:hAnsi="仿宋" w:eastAsia="仿宋" w:cs="仿宋"/>
                <w:color w:val="auto"/>
                <w:sz w:val="21"/>
                <w:szCs w:val="21"/>
                <w:highlight w:val="none"/>
              </w:rPr>
            </w:pPr>
            <w:r>
              <w:rPr>
                <w:rFonts w:hint="eastAsia" w:ascii="仿宋" w:hAnsi="仿宋" w:eastAsia="仿宋" w:cs="仿宋"/>
                <w:color w:val="auto"/>
                <w:kern w:val="0"/>
                <w:sz w:val="21"/>
                <w:szCs w:val="21"/>
                <w:highlight w:val="none"/>
              </w:rPr>
              <w:t>（PACS）</w:t>
            </w:r>
          </w:p>
        </w:tc>
        <w:tc>
          <w:tcPr>
            <w:tcW w:w="3624" w:type="pct"/>
            <w:tcBorders>
              <w:top w:val="single" w:color="auto" w:sz="4" w:space="0"/>
              <w:left w:val="single" w:color="auto" w:sz="4" w:space="0"/>
              <w:bottom w:val="single" w:color="auto" w:sz="4" w:space="0"/>
              <w:right w:val="single" w:color="auto" w:sz="4" w:space="0"/>
            </w:tcBorders>
            <w:vAlign w:val="center"/>
          </w:tcPr>
          <w:p w14:paraId="29955144">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医技观片工作站</w:t>
            </w:r>
          </w:p>
        </w:tc>
      </w:tr>
      <w:tr w14:paraId="624AE9C5">
        <w:tblPrEx>
          <w:tblCellMar>
            <w:top w:w="0" w:type="dxa"/>
            <w:left w:w="108" w:type="dxa"/>
            <w:bottom w:w="0" w:type="dxa"/>
            <w:right w:w="108" w:type="dxa"/>
          </w:tblCellMar>
        </w:tblPrEx>
        <w:trPr>
          <w:trHeight w:val="375" w:hRule="atLeast"/>
        </w:trPr>
        <w:tc>
          <w:tcPr>
            <w:tcW w:w="1375" w:type="pct"/>
            <w:vMerge w:val="continue"/>
            <w:tcBorders>
              <w:left w:val="single" w:color="auto" w:sz="4" w:space="0"/>
              <w:right w:val="single" w:color="auto" w:sz="4" w:space="0"/>
            </w:tcBorders>
            <w:vAlign w:val="center"/>
          </w:tcPr>
          <w:p w14:paraId="5E69E890">
            <w:pPr>
              <w:snapToGrid w:val="0"/>
              <w:spacing w:line="360" w:lineRule="auto"/>
              <w:jc w:val="center"/>
              <w:rPr>
                <w:rFonts w:ascii="仿宋" w:hAnsi="仿宋" w:eastAsia="仿宋" w:cs="仿宋"/>
                <w:color w:val="auto"/>
                <w:kern w:val="0"/>
                <w:sz w:val="21"/>
                <w:szCs w:val="21"/>
                <w:highlight w:val="none"/>
              </w:rPr>
            </w:pPr>
          </w:p>
        </w:tc>
        <w:tc>
          <w:tcPr>
            <w:tcW w:w="3624" w:type="pct"/>
            <w:tcBorders>
              <w:top w:val="single" w:color="auto" w:sz="4" w:space="0"/>
              <w:left w:val="single" w:color="auto" w:sz="4" w:space="0"/>
              <w:bottom w:val="single" w:color="auto" w:sz="4" w:space="0"/>
              <w:right w:val="single" w:color="auto" w:sz="4" w:space="0"/>
            </w:tcBorders>
            <w:vAlign w:val="center"/>
          </w:tcPr>
          <w:p w14:paraId="03DA093A">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临床影像浏览标准版</w:t>
            </w:r>
          </w:p>
        </w:tc>
      </w:tr>
      <w:tr w14:paraId="76ADA962">
        <w:tblPrEx>
          <w:tblCellMar>
            <w:top w:w="0" w:type="dxa"/>
            <w:left w:w="108" w:type="dxa"/>
            <w:bottom w:w="0" w:type="dxa"/>
            <w:right w:w="108" w:type="dxa"/>
          </w:tblCellMar>
        </w:tblPrEx>
        <w:trPr>
          <w:trHeight w:val="375" w:hRule="atLeast"/>
        </w:trPr>
        <w:tc>
          <w:tcPr>
            <w:tcW w:w="1375" w:type="pct"/>
            <w:vMerge w:val="continue"/>
            <w:tcBorders>
              <w:left w:val="single" w:color="auto" w:sz="4" w:space="0"/>
              <w:right w:val="single" w:color="auto" w:sz="4" w:space="0"/>
            </w:tcBorders>
            <w:vAlign w:val="center"/>
          </w:tcPr>
          <w:p w14:paraId="06ACA0D7">
            <w:pPr>
              <w:snapToGrid w:val="0"/>
              <w:spacing w:line="360" w:lineRule="auto"/>
              <w:jc w:val="center"/>
              <w:rPr>
                <w:rFonts w:ascii="仿宋" w:hAnsi="仿宋" w:eastAsia="仿宋" w:cs="仿宋"/>
                <w:color w:val="auto"/>
                <w:kern w:val="0"/>
                <w:sz w:val="21"/>
                <w:szCs w:val="21"/>
                <w:highlight w:val="none"/>
              </w:rPr>
            </w:pPr>
          </w:p>
        </w:tc>
        <w:tc>
          <w:tcPr>
            <w:tcW w:w="3624" w:type="pct"/>
            <w:tcBorders>
              <w:top w:val="single" w:color="auto" w:sz="4" w:space="0"/>
              <w:left w:val="single" w:color="auto" w:sz="4" w:space="0"/>
              <w:bottom w:val="single" w:color="auto" w:sz="4" w:space="0"/>
              <w:right w:val="single" w:color="auto" w:sz="4" w:space="0"/>
            </w:tcBorders>
            <w:vAlign w:val="center"/>
          </w:tcPr>
          <w:p w14:paraId="68710102">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放射信息系统标准版</w:t>
            </w:r>
          </w:p>
        </w:tc>
      </w:tr>
      <w:tr w14:paraId="0184C250">
        <w:tblPrEx>
          <w:tblCellMar>
            <w:top w:w="0" w:type="dxa"/>
            <w:left w:w="108" w:type="dxa"/>
            <w:bottom w:w="0" w:type="dxa"/>
            <w:right w:w="108" w:type="dxa"/>
          </w:tblCellMar>
        </w:tblPrEx>
        <w:trPr>
          <w:trHeight w:val="375" w:hRule="atLeast"/>
        </w:trPr>
        <w:tc>
          <w:tcPr>
            <w:tcW w:w="1375" w:type="pct"/>
            <w:vMerge w:val="continue"/>
            <w:tcBorders>
              <w:left w:val="single" w:color="auto" w:sz="4" w:space="0"/>
              <w:bottom w:val="single" w:color="auto" w:sz="4" w:space="0"/>
              <w:right w:val="single" w:color="auto" w:sz="4" w:space="0"/>
            </w:tcBorders>
            <w:vAlign w:val="center"/>
          </w:tcPr>
          <w:p w14:paraId="3443DE72">
            <w:pPr>
              <w:snapToGrid w:val="0"/>
              <w:spacing w:line="360" w:lineRule="auto"/>
              <w:jc w:val="center"/>
              <w:rPr>
                <w:rFonts w:ascii="仿宋" w:hAnsi="仿宋" w:eastAsia="仿宋" w:cs="仿宋"/>
                <w:color w:val="auto"/>
                <w:kern w:val="0"/>
                <w:sz w:val="21"/>
                <w:szCs w:val="21"/>
                <w:highlight w:val="none"/>
              </w:rPr>
            </w:pPr>
          </w:p>
        </w:tc>
        <w:tc>
          <w:tcPr>
            <w:tcW w:w="3624" w:type="pct"/>
            <w:tcBorders>
              <w:top w:val="single" w:color="auto" w:sz="4" w:space="0"/>
              <w:left w:val="single" w:color="auto" w:sz="4" w:space="0"/>
              <w:bottom w:val="single" w:color="auto" w:sz="4" w:space="0"/>
              <w:right w:val="single" w:color="auto" w:sz="4" w:space="0"/>
            </w:tcBorders>
            <w:vAlign w:val="center"/>
          </w:tcPr>
          <w:p w14:paraId="233BA0AA">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超声信息系统标准版</w:t>
            </w:r>
          </w:p>
        </w:tc>
      </w:tr>
      <w:tr w14:paraId="45DCF5C2">
        <w:tblPrEx>
          <w:tblCellMar>
            <w:top w:w="0" w:type="dxa"/>
            <w:left w:w="108" w:type="dxa"/>
            <w:bottom w:w="0" w:type="dxa"/>
            <w:right w:w="108" w:type="dxa"/>
          </w:tblCellMar>
        </w:tblPrEx>
        <w:trPr>
          <w:trHeight w:val="375" w:hRule="atLeast"/>
        </w:trPr>
        <w:tc>
          <w:tcPr>
            <w:tcW w:w="1375" w:type="pct"/>
            <w:vMerge w:val="restart"/>
            <w:tcBorders>
              <w:top w:val="single" w:color="auto" w:sz="4" w:space="0"/>
              <w:left w:val="single" w:color="auto" w:sz="4" w:space="0"/>
              <w:right w:val="single" w:color="auto" w:sz="4" w:space="0"/>
            </w:tcBorders>
            <w:vAlign w:val="center"/>
          </w:tcPr>
          <w:p w14:paraId="301E9F4E">
            <w:pPr>
              <w:snapToGrid w:val="0"/>
              <w:spacing w:line="360" w:lineRule="auto"/>
              <w:jc w:val="center"/>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临床路径管理系统</w:t>
            </w:r>
          </w:p>
        </w:tc>
        <w:tc>
          <w:tcPr>
            <w:tcW w:w="3624" w:type="pct"/>
            <w:tcBorders>
              <w:top w:val="single" w:color="auto" w:sz="4" w:space="0"/>
              <w:left w:val="single" w:color="auto" w:sz="4" w:space="0"/>
              <w:bottom w:val="single" w:color="auto" w:sz="4" w:space="0"/>
              <w:right w:val="single" w:color="auto" w:sz="4" w:space="0"/>
            </w:tcBorders>
            <w:vAlign w:val="center"/>
          </w:tcPr>
          <w:p w14:paraId="59C48BFE">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路径设计</w:t>
            </w:r>
          </w:p>
        </w:tc>
      </w:tr>
      <w:tr w14:paraId="3E98FC00">
        <w:tblPrEx>
          <w:tblCellMar>
            <w:top w:w="0" w:type="dxa"/>
            <w:left w:w="108" w:type="dxa"/>
            <w:bottom w:w="0" w:type="dxa"/>
            <w:right w:w="108" w:type="dxa"/>
          </w:tblCellMar>
        </w:tblPrEx>
        <w:trPr>
          <w:trHeight w:val="375" w:hRule="atLeast"/>
        </w:trPr>
        <w:tc>
          <w:tcPr>
            <w:tcW w:w="1375" w:type="pct"/>
            <w:vMerge w:val="continue"/>
            <w:tcBorders>
              <w:left w:val="single" w:color="auto" w:sz="4" w:space="0"/>
              <w:right w:val="single" w:color="auto" w:sz="4" w:space="0"/>
            </w:tcBorders>
            <w:vAlign w:val="center"/>
          </w:tcPr>
          <w:p w14:paraId="241FD1E1">
            <w:pPr>
              <w:snapToGrid w:val="0"/>
              <w:spacing w:line="360" w:lineRule="auto"/>
              <w:jc w:val="center"/>
              <w:rPr>
                <w:rFonts w:ascii="仿宋" w:hAnsi="仿宋" w:eastAsia="仿宋" w:cs="仿宋"/>
                <w:color w:val="auto"/>
                <w:kern w:val="0"/>
                <w:sz w:val="21"/>
                <w:szCs w:val="21"/>
                <w:highlight w:val="none"/>
              </w:rPr>
            </w:pPr>
          </w:p>
        </w:tc>
        <w:tc>
          <w:tcPr>
            <w:tcW w:w="3624" w:type="pct"/>
            <w:tcBorders>
              <w:top w:val="single" w:color="auto" w:sz="4" w:space="0"/>
              <w:left w:val="single" w:color="auto" w:sz="4" w:space="0"/>
              <w:bottom w:val="single" w:color="auto" w:sz="4" w:space="0"/>
              <w:right w:val="single" w:color="auto" w:sz="4" w:space="0"/>
            </w:tcBorders>
            <w:vAlign w:val="center"/>
          </w:tcPr>
          <w:p w14:paraId="542BBCA3">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病种管理</w:t>
            </w:r>
          </w:p>
        </w:tc>
      </w:tr>
      <w:tr w14:paraId="7B1480AC">
        <w:tblPrEx>
          <w:tblCellMar>
            <w:top w:w="0" w:type="dxa"/>
            <w:left w:w="108" w:type="dxa"/>
            <w:bottom w:w="0" w:type="dxa"/>
            <w:right w:w="108" w:type="dxa"/>
          </w:tblCellMar>
        </w:tblPrEx>
        <w:trPr>
          <w:trHeight w:val="375" w:hRule="atLeast"/>
        </w:trPr>
        <w:tc>
          <w:tcPr>
            <w:tcW w:w="1375" w:type="pct"/>
            <w:vMerge w:val="continue"/>
            <w:tcBorders>
              <w:left w:val="single" w:color="auto" w:sz="4" w:space="0"/>
              <w:bottom w:val="single" w:color="auto" w:sz="4" w:space="0"/>
              <w:right w:val="single" w:color="auto" w:sz="4" w:space="0"/>
            </w:tcBorders>
            <w:vAlign w:val="center"/>
          </w:tcPr>
          <w:p w14:paraId="3C7E796D">
            <w:pPr>
              <w:snapToGrid w:val="0"/>
              <w:spacing w:line="360" w:lineRule="auto"/>
              <w:jc w:val="center"/>
              <w:rPr>
                <w:rFonts w:ascii="仿宋" w:hAnsi="仿宋" w:eastAsia="仿宋" w:cs="仿宋"/>
                <w:color w:val="auto"/>
                <w:kern w:val="0"/>
                <w:sz w:val="21"/>
                <w:szCs w:val="21"/>
                <w:highlight w:val="none"/>
              </w:rPr>
            </w:pPr>
          </w:p>
        </w:tc>
        <w:tc>
          <w:tcPr>
            <w:tcW w:w="3624" w:type="pct"/>
            <w:tcBorders>
              <w:top w:val="single" w:color="auto" w:sz="4" w:space="0"/>
              <w:left w:val="single" w:color="auto" w:sz="4" w:space="0"/>
              <w:bottom w:val="single" w:color="auto" w:sz="4" w:space="0"/>
              <w:right w:val="single" w:color="auto" w:sz="4" w:space="0"/>
            </w:tcBorders>
            <w:vAlign w:val="center"/>
          </w:tcPr>
          <w:p w14:paraId="74DB2746">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路径表单审核管理</w:t>
            </w:r>
          </w:p>
        </w:tc>
      </w:tr>
      <w:tr w14:paraId="77C944A5">
        <w:tblPrEx>
          <w:tblCellMar>
            <w:top w:w="0" w:type="dxa"/>
            <w:left w:w="108" w:type="dxa"/>
            <w:bottom w:w="0" w:type="dxa"/>
            <w:right w:w="108" w:type="dxa"/>
          </w:tblCellMar>
        </w:tblPrEx>
        <w:trPr>
          <w:trHeight w:val="375" w:hRule="atLeast"/>
        </w:trPr>
        <w:tc>
          <w:tcPr>
            <w:tcW w:w="1375" w:type="pct"/>
            <w:vMerge w:val="restart"/>
            <w:tcBorders>
              <w:top w:val="single" w:color="auto" w:sz="4" w:space="0"/>
              <w:left w:val="single" w:color="auto" w:sz="4" w:space="0"/>
              <w:bottom w:val="single" w:color="auto" w:sz="4" w:space="0"/>
              <w:right w:val="single" w:color="auto" w:sz="4" w:space="0"/>
            </w:tcBorders>
            <w:vAlign w:val="center"/>
          </w:tcPr>
          <w:p w14:paraId="5EA34D74">
            <w:pPr>
              <w:snapToGrid w:val="0"/>
              <w:spacing w:line="360" w:lineRule="auto"/>
              <w:jc w:val="center"/>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医技管理系统</w:t>
            </w:r>
          </w:p>
        </w:tc>
        <w:tc>
          <w:tcPr>
            <w:tcW w:w="3624" w:type="pct"/>
            <w:tcBorders>
              <w:top w:val="single" w:color="auto" w:sz="4" w:space="0"/>
              <w:left w:val="single" w:color="auto" w:sz="4" w:space="0"/>
              <w:bottom w:val="single" w:color="auto" w:sz="4" w:space="0"/>
              <w:right w:val="single" w:color="auto" w:sz="4" w:space="0"/>
            </w:tcBorders>
            <w:vAlign w:val="center"/>
          </w:tcPr>
          <w:p w14:paraId="714A496E">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医技执行管理系统</w:t>
            </w:r>
          </w:p>
        </w:tc>
      </w:tr>
      <w:tr w14:paraId="2A5283A7">
        <w:tblPrEx>
          <w:tblCellMar>
            <w:top w:w="0" w:type="dxa"/>
            <w:left w:w="108" w:type="dxa"/>
            <w:bottom w:w="0" w:type="dxa"/>
            <w:right w:w="108" w:type="dxa"/>
          </w:tblCellMar>
        </w:tblPrEx>
        <w:trPr>
          <w:trHeight w:val="375" w:hRule="atLeast"/>
        </w:trPr>
        <w:tc>
          <w:tcPr>
            <w:tcW w:w="1375" w:type="pct"/>
            <w:vMerge w:val="continue"/>
            <w:tcBorders>
              <w:top w:val="nil"/>
              <w:left w:val="single" w:color="auto" w:sz="4" w:space="0"/>
              <w:bottom w:val="single" w:color="auto" w:sz="4" w:space="0"/>
              <w:right w:val="single" w:color="auto" w:sz="4" w:space="0"/>
            </w:tcBorders>
            <w:vAlign w:val="center"/>
          </w:tcPr>
          <w:p w14:paraId="231B1C36">
            <w:pPr>
              <w:snapToGrid w:val="0"/>
              <w:spacing w:line="360" w:lineRule="auto"/>
              <w:jc w:val="center"/>
              <w:rPr>
                <w:rFonts w:ascii="仿宋" w:hAnsi="仿宋" w:eastAsia="仿宋" w:cs="仿宋"/>
                <w:color w:val="auto"/>
                <w:kern w:val="0"/>
                <w:sz w:val="21"/>
                <w:szCs w:val="21"/>
                <w:highlight w:val="none"/>
              </w:rPr>
            </w:pPr>
          </w:p>
        </w:tc>
        <w:tc>
          <w:tcPr>
            <w:tcW w:w="3624" w:type="pct"/>
            <w:tcBorders>
              <w:top w:val="nil"/>
              <w:left w:val="single" w:color="auto" w:sz="4" w:space="0"/>
              <w:bottom w:val="single" w:color="auto" w:sz="4" w:space="0"/>
              <w:right w:val="single" w:color="auto" w:sz="4" w:space="0"/>
            </w:tcBorders>
            <w:vAlign w:val="center"/>
          </w:tcPr>
          <w:p w14:paraId="269C54AE">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手术安排与费用管理系统</w:t>
            </w:r>
          </w:p>
        </w:tc>
      </w:tr>
      <w:tr w14:paraId="71E5C252">
        <w:tblPrEx>
          <w:tblCellMar>
            <w:top w:w="0" w:type="dxa"/>
            <w:left w:w="108" w:type="dxa"/>
            <w:bottom w:w="0" w:type="dxa"/>
            <w:right w:w="108" w:type="dxa"/>
          </w:tblCellMar>
        </w:tblPrEx>
        <w:trPr>
          <w:trHeight w:val="375" w:hRule="atLeast"/>
        </w:trPr>
        <w:tc>
          <w:tcPr>
            <w:tcW w:w="1375" w:type="pct"/>
            <w:vMerge w:val="continue"/>
            <w:tcBorders>
              <w:top w:val="nil"/>
              <w:left w:val="single" w:color="auto" w:sz="4" w:space="0"/>
              <w:bottom w:val="single" w:color="auto" w:sz="4" w:space="0"/>
              <w:right w:val="single" w:color="auto" w:sz="4" w:space="0"/>
            </w:tcBorders>
            <w:vAlign w:val="center"/>
          </w:tcPr>
          <w:p w14:paraId="71E11925">
            <w:pPr>
              <w:snapToGrid w:val="0"/>
              <w:spacing w:line="360" w:lineRule="auto"/>
              <w:jc w:val="center"/>
              <w:rPr>
                <w:rFonts w:ascii="仿宋" w:hAnsi="仿宋" w:eastAsia="仿宋" w:cs="仿宋"/>
                <w:color w:val="auto"/>
                <w:kern w:val="0"/>
                <w:sz w:val="21"/>
                <w:szCs w:val="21"/>
                <w:highlight w:val="none"/>
              </w:rPr>
            </w:pPr>
          </w:p>
        </w:tc>
        <w:tc>
          <w:tcPr>
            <w:tcW w:w="3624" w:type="pct"/>
            <w:tcBorders>
              <w:top w:val="nil"/>
              <w:left w:val="single" w:color="auto" w:sz="4" w:space="0"/>
              <w:bottom w:val="single" w:color="auto" w:sz="4" w:space="0"/>
              <w:right w:val="single" w:color="auto" w:sz="4" w:space="0"/>
            </w:tcBorders>
            <w:vAlign w:val="center"/>
          </w:tcPr>
          <w:p w14:paraId="1D5AC24B">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血库管理系统</w:t>
            </w:r>
          </w:p>
        </w:tc>
      </w:tr>
      <w:tr w14:paraId="2CB4B3C6">
        <w:tblPrEx>
          <w:tblCellMar>
            <w:top w:w="0" w:type="dxa"/>
            <w:left w:w="108" w:type="dxa"/>
            <w:bottom w:w="0" w:type="dxa"/>
            <w:right w:w="108" w:type="dxa"/>
          </w:tblCellMar>
        </w:tblPrEx>
        <w:trPr>
          <w:trHeight w:val="375" w:hRule="atLeast"/>
        </w:trPr>
        <w:tc>
          <w:tcPr>
            <w:tcW w:w="1375" w:type="pct"/>
            <w:vMerge w:val="continue"/>
            <w:tcBorders>
              <w:top w:val="nil"/>
              <w:left w:val="single" w:color="auto" w:sz="4" w:space="0"/>
              <w:bottom w:val="single" w:color="auto" w:sz="4" w:space="0"/>
              <w:right w:val="single" w:color="auto" w:sz="4" w:space="0"/>
            </w:tcBorders>
            <w:vAlign w:val="center"/>
          </w:tcPr>
          <w:p w14:paraId="1A50CD9A">
            <w:pPr>
              <w:snapToGrid w:val="0"/>
              <w:spacing w:line="360" w:lineRule="auto"/>
              <w:jc w:val="center"/>
              <w:rPr>
                <w:rFonts w:ascii="仿宋" w:hAnsi="仿宋" w:eastAsia="仿宋" w:cs="仿宋"/>
                <w:color w:val="auto"/>
                <w:kern w:val="0"/>
                <w:sz w:val="21"/>
                <w:szCs w:val="21"/>
                <w:highlight w:val="none"/>
              </w:rPr>
            </w:pPr>
          </w:p>
        </w:tc>
        <w:tc>
          <w:tcPr>
            <w:tcW w:w="3624" w:type="pct"/>
            <w:tcBorders>
              <w:top w:val="nil"/>
              <w:left w:val="single" w:color="auto" w:sz="4" w:space="0"/>
              <w:bottom w:val="single" w:color="auto" w:sz="4" w:space="0"/>
              <w:right w:val="single" w:color="auto" w:sz="4" w:space="0"/>
            </w:tcBorders>
            <w:vAlign w:val="center"/>
          </w:tcPr>
          <w:p w14:paraId="0F79AB4A">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体检管理系统</w:t>
            </w:r>
          </w:p>
        </w:tc>
      </w:tr>
      <w:tr w14:paraId="2247E263">
        <w:tblPrEx>
          <w:tblCellMar>
            <w:top w:w="0" w:type="dxa"/>
            <w:left w:w="108" w:type="dxa"/>
            <w:bottom w:w="0" w:type="dxa"/>
            <w:right w:w="108" w:type="dxa"/>
          </w:tblCellMar>
        </w:tblPrEx>
        <w:trPr>
          <w:trHeight w:val="375" w:hRule="atLeast"/>
        </w:trPr>
        <w:tc>
          <w:tcPr>
            <w:tcW w:w="1375" w:type="pct"/>
            <w:vMerge w:val="continue"/>
            <w:tcBorders>
              <w:top w:val="nil"/>
              <w:left w:val="single" w:color="auto" w:sz="4" w:space="0"/>
              <w:bottom w:val="single" w:color="auto" w:sz="4" w:space="0"/>
              <w:right w:val="single" w:color="auto" w:sz="4" w:space="0"/>
            </w:tcBorders>
            <w:vAlign w:val="center"/>
          </w:tcPr>
          <w:p w14:paraId="2642874E">
            <w:pPr>
              <w:snapToGrid w:val="0"/>
              <w:spacing w:line="360" w:lineRule="auto"/>
              <w:jc w:val="center"/>
              <w:rPr>
                <w:rFonts w:ascii="仿宋" w:hAnsi="仿宋" w:eastAsia="仿宋" w:cs="仿宋"/>
                <w:color w:val="auto"/>
                <w:kern w:val="0"/>
                <w:sz w:val="21"/>
                <w:szCs w:val="21"/>
                <w:highlight w:val="none"/>
              </w:rPr>
            </w:pPr>
          </w:p>
        </w:tc>
        <w:tc>
          <w:tcPr>
            <w:tcW w:w="3624" w:type="pct"/>
            <w:tcBorders>
              <w:top w:val="nil"/>
              <w:left w:val="single" w:color="auto" w:sz="4" w:space="0"/>
              <w:bottom w:val="single" w:color="auto" w:sz="4" w:space="0"/>
              <w:right w:val="single" w:color="auto" w:sz="4" w:space="0"/>
            </w:tcBorders>
            <w:vAlign w:val="center"/>
          </w:tcPr>
          <w:p w14:paraId="239DA2F1">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病理管理系统</w:t>
            </w:r>
          </w:p>
        </w:tc>
      </w:tr>
      <w:tr w14:paraId="68EA2743">
        <w:tblPrEx>
          <w:tblCellMar>
            <w:top w:w="0" w:type="dxa"/>
            <w:left w:w="108" w:type="dxa"/>
            <w:bottom w:w="0" w:type="dxa"/>
            <w:right w:w="108" w:type="dxa"/>
          </w:tblCellMar>
        </w:tblPrEx>
        <w:trPr>
          <w:trHeight w:val="375" w:hRule="atLeast"/>
        </w:trPr>
        <w:tc>
          <w:tcPr>
            <w:tcW w:w="1375" w:type="pct"/>
            <w:vMerge w:val="restart"/>
            <w:tcBorders>
              <w:top w:val="nil"/>
              <w:left w:val="single" w:color="auto" w:sz="4" w:space="0"/>
              <w:bottom w:val="single" w:color="auto" w:sz="4" w:space="0"/>
              <w:right w:val="single" w:color="auto" w:sz="4" w:space="0"/>
            </w:tcBorders>
            <w:vAlign w:val="center"/>
          </w:tcPr>
          <w:p w14:paraId="228447CE">
            <w:pPr>
              <w:snapToGrid w:val="0"/>
              <w:spacing w:line="360" w:lineRule="auto"/>
              <w:jc w:val="center"/>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运营管理系统</w:t>
            </w:r>
          </w:p>
        </w:tc>
        <w:tc>
          <w:tcPr>
            <w:tcW w:w="3624" w:type="pct"/>
            <w:tcBorders>
              <w:top w:val="nil"/>
              <w:left w:val="single" w:color="auto" w:sz="4" w:space="0"/>
              <w:bottom w:val="single" w:color="auto" w:sz="4" w:space="0"/>
              <w:right w:val="single" w:color="auto" w:sz="4" w:space="0"/>
            </w:tcBorders>
            <w:vAlign w:val="center"/>
          </w:tcPr>
          <w:p w14:paraId="0A18DCB6">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药库管理与药品会计系统</w:t>
            </w:r>
          </w:p>
        </w:tc>
      </w:tr>
      <w:tr w14:paraId="1A78BF75">
        <w:tblPrEx>
          <w:tblCellMar>
            <w:top w:w="0" w:type="dxa"/>
            <w:left w:w="108" w:type="dxa"/>
            <w:bottom w:w="0" w:type="dxa"/>
            <w:right w:w="108" w:type="dxa"/>
          </w:tblCellMar>
        </w:tblPrEx>
        <w:trPr>
          <w:trHeight w:val="375" w:hRule="atLeast"/>
        </w:trPr>
        <w:tc>
          <w:tcPr>
            <w:tcW w:w="1375" w:type="pct"/>
            <w:vMerge w:val="continue"/>
            <w:tcBorders>
              <w:top w:val="nil"/>
              <w:left w:val="single" w:color="auto" w:sz="4" w:space="0"/>
              <w:bottom w:val="single" w:color="auto" w:sz="4" w:space="0"/>
              <w:right w:val="single" w:color="auto" w:sz="4" w:space="0"/>
            </w:tcBorders>
            <w:vAlign w:val="center"/>
          </w:tcPr>
          <w:p w14:paraId="2067960A">
            <w:pPr>
              <w:snapToGrid w:val="0"/>
              <w:spacing w:line="360" w:lineRule="auto"/>
              <w:jc w:val="center"/>
              <w:rPr>
                <w:rFonts w:ascii="仿宋" w:hAnsi="仿宋" w:eastAsia="仿宋" w:cs="仿宋"/>
                <w:color w:val="auto"/>
                <w:kern w:val="0"/>
                <w:sz w:val="21"/>
                <w:szCs w:val="21"/>
                <w:highlight w:val="none"/>
              </w:rPr>
            </w:pPr>
          </w:p>
        </w:tc>
        <w:tc>
          <w:tcPr>
            <w:tcW w:w="3624" w:type="pct"/>
            <w:tcBorders>
              <w:top w:val="nil"/>
              <w:left w:val="single" w:color="auto" w:sz="4" w:space="0"/>
              <w:bottom w:val="single" w:color="auto" w:sz="4" w:space="0"/>
              <w:right w:val="single" w:color="auto" w:sz="4" w:space="0"/>
            </w:tcBorders>
            <w:vAlign w:val="center"/>
          </w:tcPr>
          <w:p w14:paraId="60FC3FF7">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财务票据管理系统</w:t>
            </w:r>
          </w:p>
        </w:tc>
      </w:tr>
      <w:tr w14:paraId="4A11F3C1">
        <w:tblPrEx>
          <w:tblCellMar>
            <w:top w:w="0" w:type="dxa"/>
            <w:left w:w="108" w:type="dxa"/>
            <w:bottom w:w="0" w:type="dxa"/>
            <w:right w:w="108" w:type="dxa"/>
          </w:tblCellMar>
        </w:tblPrEx>
        <w:trPr>
          <w:trHeight w:val="375" w:hRule="atLeast"/>
        </w:trPr>
        <w:tc>
          <w:tcPr>
            <w:tcW w:w="1375" w:type="pct"/>
            <w:vMerge w:val="continue"/>
            <w:tcBorders>
              <w:top w:val="nil"/>
              <w:left w:val="single" w:color="auto" w:sz="4" w:space="0"/>
              <w:bottom w:val="single" w:color="auto" w:sz="4" w:space="0"/>
              <w:right w:val="single" w:color="auto" w:sz="4" w:space="0"/>
            </w:tcBorders>
            <w:vAlign w:val="center"/>
          </w:tcPr>
          <w:p w14:paraId="37A89B74">
            <w:pPr>
              <w:snapToGrid w:val="0"/>
              <w:spacing w:line="360" w:lineRule="auto"/>
              <w:jc w:val="center"/>
              <w:rPr>
                <w:rFonts w:ascii="仿宋" w:hAnsi="仿宋" w:eastAsia="仿宋" w:cs="仿宋"/>
                <w:color w:val="auto"/>
                <w:kern w:val="0"/>
                <w:sz w:val="21"/>
                <w:szCs w:val="21"/>
                <w:highlight w:val="none"/>
              </w:rPr>
            </w:pPr>
          </w:p>
        </w:tc>
        <w:tc>
          <w:tcPr>
            <w:tcW w:w="3624" w:type="pct"/>
            <w:tcBorders>
              <w:top w:val="nil"/>
              <w:left w:val="single" w:color="auto" w:sz="4" w:space="0"/>
              <w:bottom w:val="single" w:color="auto" w:sz="4" w:space="0"/>
              <w:right w:val="single" w:color="auto" w:sz="4" w:space="0"/>
            </w:tcBorders>
            <w:vAlign w:val="center"/>
          </w:tcPr>
          <w:p w14:paraId="44126D95">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财务监控系统</w:t>
            </w:r>
          </w:p>
        </w:tc>
      </w:tr>
      <w:tr w14:paraId="5AC54BAC">
        <w:tblPrEx>
          <w:tblCellMar>
            <w:top w:w="0" w:type="dxa"/>
            <w:left w:w="108" w:type="dxa"/>
            <w:bottom w:w="0" w:type="dxa"/>
            <w:right w:w="108" w:type="dxa"/>
          </w:tblCellMar>
        </w:tblPrEx>
        <w:trPr>
          <w:trHeight w:val="375" w:hRule="atLeast"/>
        </w:trPr>
        <w:tc>
          <w:tcPr>
            <w:tcW w:w="1375" w:type="pct"/>
            <w:vMerge w:val="continue"/>
            <w:tcBorders>
              <w:top w:val="nil"/>
              <w:left w:val="single" w:color="auto" w:sz="4" w:space="0"/>
              <w:bottom w:val="single" w:color="auto" w:sz="4" w:space="0"/>
              <w:right w:val="single" w:color="auto" w:sz="4" w:space="0"/>
            </w:tcBorders>
            <w:vAlign w:val="center"/>
          </w:tcPr>
          <w:p w14:paraId="3387CFAE">
            <w:pPr>
              <w:snapToGrid w:val="0"/>
              <w:spacing w:line="360" w:lineRule="auto"/>
              <w:jc w:val="center"/>
              <w:rPr>
                <w:rFonts w:ascii="仿宋" w:hAnsi="仿宋" w:eastAsia="仿宋" w:cs="仿宋"/>
                <w:color w:val="auto"/>
                <w:kern w:val="0"/>
                <w:sz w:val="21"/>
                <w:szCs w:val="21"/>
                <w:highlight w:val="none"/>
              </w:rPr>
            </w:pPr>
          </w:p>
        </w:tc>
        <w:tc>
          <w:tcPr>
            <w:tcW w:w="3624" w:type="pct"/>
            <w:tcBorders>
              <w:top w:val="nil"/>
              <w:left w:val="single" w:color="auto" w:sz="4" w:space="0"/>
              <w:bottom w:val="single" w:color="auto" w:sz="4" w:space="0"/>
              <w:right w:val="single" w:color="auto" w:sz="4" w:space="0"/>
            </w:tcBorders>
            <w:vAlign w:val="center"/>
          </w:tcPr>
          <w:p w14:paraId="5DDA06E4">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设备管理系统</w:t>
            </w:r>
          </w:p>
        </w:tc>
      </w:tr>
      <w:tr w14:paraId="4DDDB889">
        <w:tblPrEx>
          <w:tblCellMar>
            <w:top w:w="0" w:type="dxa"/>
            <w:left w:w="108" w:type="dxa"/>
            <w:bottom w:w="0" w:type="dxa"/>
            <w:right w:w="108" w:type="dxa"/>
          </w:tblCellMar>
        </w:tblPrEx>
        <w:trPr>
          <w:trHeight w:val="375" w:hRule="atLeast"/>
        </w:trPr>
        <w:tc>
          <w:tcPr>
            <w:tcW w:w="1375" w:type="pct"/>
            <w:vMerge w:val="continue"/>
            <w:tcBorders>
              <w:top w:val="nil"/>
              <w:left w:val="single" w:color="auto" w:sz="4" w:space="0"/>
              <w:bottom w:val="single" w:color="auto" w:sz="4" w:space="0"/>
              <w:right w:val="single" w:color="auto" w:sz="4" w:space="0"/>
            </w:tcBorders>
            <w:vAlign w:val="center"/>
          </w:tcPr>
          <w:p w14:paraId="3669317F">
            <w:pPr>
              <w:snapToGrid w:val="0"/>
              <w:spacing w:line="360" w:lineRule="auto"/>
              <w:jc w:val="center"/>
              <w:rPr>
                <w:rFonts w:ascii="仿宋" w:hAnsi="仿宋" w:eastAsia="仿宋" w:cs="仿宋"/>
                <w:color w:val="auto"/>
                <w:kern w:val="0"/>
                <w:sz w:val="21"/>
                <w:szCs w:val="21"/>
                <w:highlight w:val="none"/>
              </w:rPr>
            </w:pPr>
          </w:p>
        </w:tc>
        <w:tc>
          <w:tcPr>
            <w:tcW w:w="3624" w:type="pct"/>
            <w:tcBorders>
              <w:top w:val="nil"/>
              <w:left w:val="single" w:color="auto" w:sz="4" w:space="0"/>
              <w:bottom w:val="single" w:color="auto" w:sz="4" w:space="0"/>
              <w:right w:val="single" w:color="auto" w:sz="4" w:space="0"/>
            </w:tcBorders>
            <w:vAlign w:val="center"/>
          </w:tcPr>
          <w:p w14:paraId="7E5A21D4">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后勤物资管理系统</w:t>
            </w:r>
          </w:p>
        </w:tc>
      </w:tr>
      <w:tr w14:paraId="083CF334">
        <w:tblPrEx>
          <w:tblCellMar>
            <w:top w:w="0" w:type="dxa"/>
            <w:left w:w="108" w:type="dxa"/>
            <w:bottom w:w="0" w:type="dxa"/>
            <w:right w:w="108" w:type="dxa"/>
          </w:tblCellMar>
        </w:tblPrEx>
        <w:trPr>
          <w:trHeight w:val="375" w:hRule="atLeast"/>
        </w:trPr>
        <w:tc>
          <w:tcPr>
            <w:tcW w:w="1375" w:type="pct"/>
            <w:vMerge w:val="continue"/>
            <w:tcBorders>
              <w:top w:val="nil"/>
              <w:left w:val="single" w:color="auto" w:sz="4" w:space="0"/>
              <w:bottom w:val="single" w:color="auto" w:sz="4" w:space="0"/>
              <w:right w:val="single" w:color="auto" w:sz="4" w:space="0"/>
            </w:tcBorders>
            <w:vAlign w:val="center"/>
          </w:tcPr>
          <w:p w14:paraId="36AE3842">
            <w:pPr>
              <w:snapToGrid w:val="0"/>
              <w:spacing w:line="360" w:lineRule="auto"/>
              <w:jc w:val="center"/>
              <w:rPr>
                <w:rFonts w:ascii="仿宋" w:hAnsi="仿宋" w:eastAsia="仿宋" w:cs="仿宋"/>
                <w:color w:val="auto"/>
                <w:kern w:val="0"/>
                <w:sz w:val="21"/>
                <w:szCs w:val="21"/>
                <w:highlight w:val="none"/>
              </w:rPr>
            </w:pPr>
          </w:p>
        </w:tc>
        <w:tc>
          <w:tcPr>
            <w:tcW w:w="3624" w:type="pct"/>
            <w:tcBorders>
              <w:top w:val="nil"/>
              <w:left w:val="single" w:color="auto" w:sz="4" w:space="0"/>
              <w:bottom w:val="single" w:color="auto" w:sz="4" w:space="0"/>
              <w:right w:val="single" w:color="auto" w:sz="4" w:space="0"/>
            </w:tcBorders>
            <w:vAlign w:val="center"/>
          </w:tcPr>
          <w:p w14:paraId="0EA10394">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卫生材料管理系统</w:t>
            </w:r>
          </w:p>
        </w:tc>
      </w:tr>
      <w:tr w14:paraId="5DC58BEC">
        <w:tblPrEx>
          <w:tblCellMar>
            <w:top w:w="0" w:type="dxa"/>
            <w:left w:w="108" w:type="dxa"/>
            <w:bottom w:w="0" w:type="dxa"/>
            <w:right w:w="108" w:type="dxa"/>
          </w:tblCellMar>
        </w:tblPrEx>
        <w:trPr>
          <w:trHeight w:val="375" w:hRule="atLeast"/>
        </w:trPr>
        <w:tc>
          <w:tcPr>
            <w:tcW w:w="1375" w:type="pct"/>
            <w:vMerge w:val="continue"/>
            <w:tcBorders>
              <w:top w:val="nil"/>
              <w:left w:val="single" w:color="auto" w:sz="4" w:space="0"/>
              <w:bottom w:val="single" w:color="auto" w:sz="4" w:space="0"/>
              <w:right w:val="single" w:color="auto" w:sz="4" w:space="0"/>
            </w:tcBorders>
            <w:vAlign w:val="center"/>
          </w:tcPr>
          <w:p w14:paraId="1325E9B4">
            <w:pPr>
              <w:snapToGrid w:val="0"/>
              <w:spacing w:line="360" w:lineRule="auto"/>
              <w:jc w:val="center"/>
              <w:rPr>
                <w:rFonts w:ascii="仿宋" w:hAnsi="仿宋" w:eastAsia="仿宋" w:cs="仿宋"/>
                <w:color w:val="auto"/>
                <w:kern w:val="0"/>
                <w:sz w:val="21"/>
                <w:szCs w:val="21"/>
                <w:highlight w:val="none"/>
              </w:rPr>
            </w:pPr>
          </w:p>
        </w:tc>
        <w:tc>
          <w:tcPr>
            <w:tcW w:w="3624" w:type="pct"/>
            <w:tcBorders>
              <w:top w:val="nil"/>
              <w:left w:val="single" w:color="auto" w:sz="4" w:space="0"/>
              <w:bottom w:val="single" w:color="auto" w:sz="4" w:space="0"/>
              <w:right w:val="single" w:color="auto" w:sz="4" w:space="0"/>
            </w:tcBorders>
            <w:vAlign w:val="center"/>
          </w:tcPr>
          <w:p w14:paraId="356CE259">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供应室管理系统</w:t>
            </w:r>
          </w:p>
        </w:tc>
      </w:tr>
      <w:tr w14:paraId="0AF2D166">
        <w:tblPrEx>
          <w:tblCellMar>
            <w:top w:w="0" w:type="dxa"/>
            <w:left w:w="108" w:type="dxa"/>
            <w:bottom w:w="0" w:type="dxa"/>
            <w:right w:w="108" w:type="dxa"/>
          </w:tblCellMar>
        </w:tblPrEx>
        <w:trPr>
          <w:trHeight w:val="375" w:hRule="atLeast"/>
        </w:trPr>
        <w:tc>
          <w:tcPr>
            <w:tcW w:w="1375" w:type="pct"/>
            <w:vMerge w:val="continue"/>
            <w:tcBorders>
              <w:top w:val="nil"/>
              <w:left w:val="single" w:color="auto" w:sz="4" w:space="0"/>
              <w:bottom w:val="single" w:color="auto" w:sz="4" w:space="0"/>
              <w:right w:val="single" w:color="auto" w:sz="4" w:space="0"/>
            </w:tcBorders>
            <w:vAlign w:val="center"/>
          </w:tcPr>
          <w:p w14:paraId="1172AAF4">
            <w:pPr>
              <w:snapToGrid w:val="0"/>
              <w:spacing w:line="360" w:lineRule="auto"/>
              <w:jc w:val="center"/>
              <w:rPr>
                <w:rFonts w:ascii="仿宋" w:hAnsi="仿宋" w:eastAsia="仿宋" w:cs="仿宋"/>
                <w:color w:val="auto"/>
                <w:kern w:val="0"/>
                <w:sz w:val="21"/>
                <w:szCs w:val="21"/>
                <w:highlight w:val="none"/>
              </w:rPr>
            </w:pPr>
          </w:p>
        </w:tc>
        <w:tc>
          <w:tcPr>
            <w:tcW w:w="3624" w:type="pct"/>
            <w:tcBorders>
              <w:top w:val="nil"/>
              <w:left w:val="single" w:color="auto" w:sz="4" w:space="0"/>
              <w:bottom w:val="single" w:color="auto" w:sz="4" w:space="0"/>
              <w:right w:val="single" w:color="auto" w:sz="4" w:space="0"/>
            </w:tcBorders>
            <w:vAlign w:val="center"/>
          </w:tcPr>
          <w:p w14:paraId="6FC7F444">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综合查询与统计报表</w:t>
            </w:r>
          </w:p>
        </w:tc>
      </w:tr>
      <w:tr w14:paraId="278F5EDA">
        <w:tblPrEx>
          <w:tblCellMar>
            <w:top w:w="0" w:type="dxa"/>
            <w:left w:w="108" w:type="dxa"/>
            <w:bottom w:w="0" w:type="dxa"/>
            <w:right w:w="108" w:type="dxa"/>
          </w:tblCellMar>
        </w:tblPrEx>
        <w:trPr>
          <w:trHeight w:val="375" w:hRule="atLeast"/>
        </w:trPr>
        <w:tc>
          <w:tcPr>
            <w:tcW w:w="1375" w:type="pct"/>
            <w:vMerge w:val="restart"/>
            <w:tcBorders>
              <w:top w:val="single" w:color="auto" w:sz="4" w:space="0"/>
              <w:left w:val="single" w:color="auto" w:sz="4" w:space="0"/>
              <w:right w:val="single" w:color="auto" w:sz="4" w:space="0"/>
            </w:tcBorders>
            <w:vAlign w:val="center"/>
          </w:tcPr>
          <w:p w14:paraId="441BF7FF">
            <w:pPr>
              <w:snapToGrid w:val="0"/>
              <w:spacing w:line="360" w:lineRule="auto"/>
              <w:jc w:val="center"/>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疾病监测上报系统</w:t>
            </w:r>
          </w:p>
        </w:tc>
        <w:tc>
          <w:tcPr>
            <w:tcW w:w="3624" w:type="pct"/>
            <w:tcBorders>
              <w:top w:val="single" w:color="auto" w:sz="4" w:space="0"/>
              <w:left w:val="single" w:color="auto" w:sz="4" w:space="0"/>
              <w:bottom w:val="single" w:color="auto" w:sz="4" w:space="0"/>
              <w:right w:val="single" w:color="auto" w:sz="4" w:space="0"/>
            </w:tcBorders>
            <w:vAlign w:val="center"/>
          </w:tcPr>
          <w:p w14:paraId="3E52CE70">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食性性疾病监测系统</w:t>
            </w:r>
          </w:p>
        </w:tc>
      </w:tr>
      <w:tr w14:paraId="77E918E5">
        <w:tblPrEx>
          <w:tblCellMar>
            <w:top w:w="0" w:type="dxa"/>
            <w:left w:w="108" w:type="dxa"/>
            <w:bottom w:w="0" w:type="dxa"/>
            <w:right w:w="108" w:type="dxa"/>
          </w:tblCellMar>
        </w:tblPrEx>
        <w:trPr>
          <w:trHeight w:val="375" w:hRule="atLeast"/>
        </w:trPr>
        <w:tc>
          <w:tcPr>
            <w:tcW w:w="1375" w:type="pct"/>
            <w:vMerge w:val="continue"/>
            <w:tcBorders>
              <w:left w:val="single" w:color="auto" w:sz="4" w:space="0"/>
              <w:right w:val="single" w:color="auto" w:sz="4" w:space="0"/>
            </w:tcBorders>
            <w:vAlign w:val="center"/>
          </w:tcPr>
          <w:p w14:paraId="22286BF7">
            <w:pPr>
              <w:snapToGrid w:val="0"/>
              <w:spacing w:line="360" w:lineRule="auto"/>
              <w:jc w:val="center"/>
              <w:rPr>
                <w:rFonts w:ascii="仿宋" w:hAnsi="仿宋" w:eastAsia="仿宋" w:cs="仿宋"/>
                <w:color w:val="auto"/>
                <w:kern w:val="0"/>
                <w:sz w:val="21"/>
                <w:szCs w:val="21"/>
                <w:highlight w:val="none"/>
              </w:rPr>
            </w:pPr>
          </w:p>
        </w:tc>
        <w:tc>
          <w:tcPr>
            <w:tcW w:w="3624" w:type="pct"/>
            <w:tcBorders>
              <w:top w:val="single" w:color="auto" w:sz="4" w:space="0"/>
              <w:left w:val="single" w:color="auto" w:sz="4" w:space="0"/>
              <w:bottom w:val="single" w:color="auto" w:sz="4" w:space="0"/>
              <w:right w:val="single" w:color="auto" w:sz="4" w:space="0"/>
            </w:tcBorders>
            <w:vAlign w:val="center"/>
          </w:tcPr>
          <w:p w14:paraId="6598C998">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传染性疾病监测系统</w:t>
            </w:r>
          </w:p>
        </w:tc>
      </w:tr>
      <w:tr w14:paraId="0B7E1EA9">
        <w:tblPrEx>
          <w:tblCellMar>
            <w:top w:w="0" w:type="dxa"/>
            <w:left w:w="108" w:type="dxa"/>
            <w:bottom w:w="0" w:type="dxa"/>
            <w:right w:w="108" w:type="dxa"/>
          </w:tblCellMar>
        </w:tblPrEx>
        <w:trPr>
          <w:trHeight w:val="375" w:hRule="atLeast"/>
        </w:trPr>
        <w:tc>
          <w:tcPr>
            <w:tcW w:w="1375" w:type="pct"/>
            <w:vMerge w:val="continue"/>
            <w:tcBorders>
              <w:left w:val="single" w:color="auto" w:sz="4" w:space="0"/>
              <w:right w:val="single" w:color="auto" w:sz="4" w:space="0"/>
            </w:tcBorders>
            <w:vAlign w:val="center"/>
          </w:tcPr>
          <w:p w14:paraId="0D4E7ED3">
            <w:pPr>
              <w:snapToGrid w:val="0"/>
              <w:spacing w:line="360" w:lineRule="auto"/>
              <w:jc w:val="center"/>
              <w:rPr>
                <w:rFonts w:ascii="仿宋" w:hAnsi="仿宋" w:eastAsia="仿宋" w:cs="仿宋"/>
                <w:color w:val="auto"/>
                <w:kern w:val="0"/>
                <w:sz w:val="21"/>
                <w:szCs w:val="21"/>
                <w:highlight w:val="none"/>
              </w:rPr>
            </w:pPr>
          </w:p>
        </w:tc>
        <w:tc>
          <w:tcPr>
            <w:tcW w:w="3624" w:type="pct"/>
            <w:tcBorders>
              <w:top w:val="single" w:color="auto" w:sz="4" w:space="0"/>
              <w:left w:val="single" w:color="auto" w:sz="4" w:space="0"/>
              <w:bottom w:val="single" w:color="auto" w:sz="4" w:space="0"/>
              <w:right w:val="single" w:color="auto" w:sz="4" w:space="0"/>
            </w:tcBorders>
            <w:vAlign w:val="center"/>
          </w:tcPr>
          <w:p w14:paraId="02C8F7B7">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慢性病监测系统</w:t>
            </w:r>
          </w:p>
        </w:tc>
      </w:tr>
      <w:tr w14:paraId="4870E3C1">
        <w:tblPrEx>
          <w:tblCellMar>
            <w:top w:w="0" w:type="dxa"/>
            <w:left w:w="108" w:type="dxa"/>
            <w:bottom w:w="0" w:type="dxa"/>
            <w:right w:w="108" w:type="dxa"/>
          </w:tblCellMar>
        </w:tblPrEx>
        <w:trPr>
          <w:trHeight w:val="375" w:hRule="atLeast"/>
        </w:trPr>
        <w:tc>
          <w:tcPr>
            <w:tcW w:w="1375" w:type="pct"/>
            <w:vMerge w:val="continue"/>
            <w:tcBorders>
              <w:left w:val="single" w:color="auto" w:sz="4" w:space="0"/>
              <w:bottom w:val="single" w:color="auto" w:sz="4" w:space="0"/>
              <w:right w:val="single" w:color="auto" w:sz="4" w:space="0"/>
            </w:tcBorders>
            <w:vAlign w:val="center"/>
          </w:tcPr>
          <w:p w14:paraId="73875A2E">
            <w:pPr>
              <w:snapToGrid w:val="0"/>
              <w:spacing w:line="360" w:lineRule="auto"/>
              <w:jc w:val="center"/>
              <w:rPr>
                <w:rFonts w:ascii="仿宋" w:hAnsi="仿宋" w:eastAsia="仿宋" w:cs="仿宋"/>
                <w:color w:val="auto"/>
                <w:kern w:val="0"/>
                <w:sz w:val="21"/>
                <w:szCs w:val="21"/>
                <w:highlight w:val="none"/>
              </w:rPr>
            </w:pPr>
          </w:p>
        </w:tc>
        <w:tc>
          <w:tcPr>
            <w:tcW w:w="3624" w:type="pct"/>
            <w:tcBorders>
              <w:top w:val="single" w:color="auto" w:sz="4" w:space="0"/>
              <w:left w:val="single" w:color="auto" w:sz="4" w:space="0"/>
              <w:bottom w:val="single" w:color="auto" w:sz="4" w:space="0"/>
              <w:right w:val="single" w:color="auto" w:sz="4" w:space="0"/>
            </w:tcBorders>
            <w:vAlign w:val="center"/>
          </w:tcPr>
          <w:p w14:paraId="3694A25B">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死亡病例监测系统</w:t>
            </w:r>
          </w:p>
        </w:tc>
      </w:tr>
      <w:tr w14:paraId="17967379">
        <w:tblPrEx>
          <w:tblCellMar>
            <w:top w:w="0" w:type="dxa"/>
            <w:left w:w="108" w:type="dxa"/>
            <w:bottom w:w="0" w:type="dxa"/>
            <w:right w:w="108" w:type="dxa"/>
          </w:tblCellMar>
        </w:tblPrEx>
        <w:trPr>
          <w:trHeight w:val="375" w:hRule="atLeast"/>
        </w:trPr>
        <w:tc>
          <w:tcPr>
            <w:tcW w:w="1375" w:type="pct"/>
            <w:vMerge w:val="restart"/>
            <w:tcBorders>
              <w:top w:val="single" w:color="auto" w:sz="4" w:space="0"/>
              <w:left w:val="single" w:color="auto" w:sz="4" w:space="0"/>
              <w:right w:val="single" w:color="auto" w:sz="4" w:space="0"/>
            </w:tcBorders>
            <w:vAlign w:val="center"/>
          </w:tcPr>
          <w:p w14:paraId="2FDF3B1D">
            <w:pPr>
              <w:snapToGrid w:val="0"/>
              <w:spacing w:line="360" w:lineRule="auto"/>
              <w:jc w:val="center"/>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医疗辅助系统</w:t>
            </w:r>
          </w:p>
        </w:tc>
        <w:tc>
          <w:tcPr>
            <w:tcW w:w="3624" w:type="pct"/>
            <w:tcBorders>
              <w:top w:val="single" w:color="auto" w:sz="4" w:space="0"/>
              <w:left w:val="single" w:color="auto" w:sz="4" w:space="0"/>
              <w:bottom w:val="single" w:color="auto" w:sz="4" w:space="0"/>
              <w:right w:val="single" w:color="auto" w:sz="4" w:space="0"/>
            </w:tcBorders>
            <w:vAlign w:val="center"/>
          </w:tcPr>
          <w:p w14:paraId="06B8585E">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治疗系统</w:t>
            </w:r>
          </w:p>
        </w:tc>
      </w:tr>
      <w:tr w14:paraId="674E8255">
        <w:tblPrEx>
          <w:tblCellMar>
            <w:top w:w="0" w:type="dxa"/>
            <w:left w:w="108" w:type="dxa"/>
            <w:bottom w:w="0" w:type="dxa"/>
            <w:right w:w="108" w:type="dxa"/>
          </w:tblCellMar>
        </w:tblPrEx>
        <w:trPr>
          <w:trHeight w:val="375" w:hRule="atLeast"/>
        </w:trPr>
        <w:tc>
          <w:tcPr>
            <w:tcW w:w="1375" w:type="pct"/>
            <w:vMerge w:val="continue"/>
            <w:tcBorders>
              <w:left w:val="single" w:color="auto" w:sz="4" w:space="0"/>
              <w:bottom w:val="single" w:color="auto" w:sz="4" w:space="0"/>
              <w:right w:val="single" w:color="auto" w:sz="4" w:space="0"/>
            </w:tcBorders>
            <w:vAlign w:val="center"/>
          </w:tcPr>
          <w:p w14:paraId="49A8713D">
            <w:pPr>
              <w:snapToGrid w:val="0"/>
              <w:spacing w:line="360" w:lineRule="auto"/>
              <w:jc w:val="center"/>
              <w:rPr>
                <w:rFonts w:ascii="仿宋" w:hAnsi="仿宋" w:eastAsia="仿宋" w:cs="仿宋"/>
                <w:color w:val="auto"/>
                <w:kern w:val="0"/>
                <w:sz w:val="21"/>
                <w:szCs w:val="21"/>
                <w:highlight w:val="none"/>
              </w:rPr>
            </w:pPr>
          </w:p>
        </w:tc>
        <w:tc>
          <w:tcPr>
            <w:tcW w:w="3624" w:type="pct"/>
            <w:tcBorders>
              <w:top w:val="nil"/>
              <w:left w:val="single" w:color="auto" w:sz="4" w:space="0"/>
              <w:bottom w:val="single" w:color="auto" w:sz="4" w:space="0"/>
              <w:right w:val="single" w:color="auto" w:sz="4" w:space="0"/>
            </w:tcBorders>
            <w:vAlign w:val="center"/>
          </w:tcPr>
          <w:p w14:paraId="19AFAB42">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检查系统</w:t>
            </w:r>
          </w:p>
        </w:tc>
      </w:tr>
      <w:tr w14:paraId="31F685F9">
        <w:tblPrEx>
          <w:tblCellMar>
            <w:top w:w="0" w:type="dxa"/>
            <w:left w:w="108" w:type="dxa"/>
            <w:bottom w:w="0" w:type="dxa"/>
            <w:right w:w="108" w:type="dxa"/>
          </w:tblCellMar>
        </w:tblPrEx>
        <w:trPr>
          <w:trHeight w:val="375" w:hRule="atLeast"/>
        </w:trPr>
        <w:tc>
          <w:tcPr>
            <w:tcW w:w="1375" w:type="pct"/>
            <w:vMerge w:val="restart"/>
            <w:tcBorders>
              <w:top w:val="nil"/>
              <w:left w:val="single" w:color="auto" w:sz="4" w:space="0"/>
              <w:right w:val="single" w:color="auto" w:sz="4" w:space="0"/>
            </w:tcBorders>
            <w:vAlign w:val="center"/>
          </w:tcPr>
          <w:p w14:paraId="6024F616">
            <w:pPr>
              <w:snapToGrid w:val="0"/>
              <w:spacing w:line="360" w:lineRule="auto"/>
              <w:jc w:val="center"/>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医疗管理系统</w:t>
            </w:r>
          </w:p>
        </w:tc>
        <w:tc>
          <w:tcPr>
            <w:tcW w:w="3624" w:type="pct"/>
            <w:tcBorders>
              <w:top w:val="nil"/>
              <w:left w:val="single" w:color="auto" w:sz="4" w:space="0"/>
              <w:bottom w:val="single" w:color="auto" w:sz="4" w:space="0"/>
              <w:right w:val="single" w:color="auto" w:sz="4" w:space="0"/>
            </w:tcBorders>
            <w:vAlign w:val="center"/>
          </w:tcPr>
          <w:p w14:paraId="4F52279E">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病案管理系统</w:t>
            </w:r>
          </w:p>
        </w:tc>
      </w:tr>
      <w:tr w14:paraId="505C209F">
        <w:tblPrEx>
          <w:tblCellMar>
            <w:top w:w="0" w:type="dxa"/>
            <w:left w:w="108" w:type="dxa"/>
            <w:bottom w:w="0" w:type="dxa"/>
            <w:right w:w="108" w:type="dxa"/>
          </w:tblCellMar>
        </w:tblPrEx>
        <w:trPr>
          <w:trHeight w:val="375" w:hRule="atLeast"/>
        </w:trPr>
        <w:tc>
          <w:tcPr>
            <w:tcW w:w="1375" w:type="pct"/>
            <w:vMerge w:val="continue"/>
            <w:tcBorders>
              <w:left w:val="single" w:color="auto" w:sz="4" w:space="0"/>
              <w:bottom w:val="single" w:color="auto" w:sz="4" w:space="0"/>
              <w:right w:val="single" w:color="auto" w:sz="4" w:space="0"/>
            </w:tcBorders>
            <w:vAlign w:val="center"/>
          </w:tcPr>
          <w:p w14:paraId="5EA7CF87">
            <w:pPr>
              <w:snapToGrid w:val="0"/>
              <w:spacing w:line="360" w:lineRule="auto"/>
              <w:jc w:val="center"/>
              <w:rPr>
                <w:rFonts w:ascii="仿宋" w:hAnsi="仿宋" w:eastAsia="仿宋" w:cs="仿宋"/>
                <w:color w:val="auto"/>
                <w:kern w:val="0"/>
                <w:sz w:val="21"/>
                <w:szCs w:val="21"/>
                <w:highlight w:val="none"/>
              </w:rPr>
            </w:pPr>
          </w:p>
        </w:tc>
        <w:tc>
          <w:tcPr>
            <w:tcW w:w="3624" w:type="pct"/>
            <w:tcBorders>
              <w:top w:val="nil"/>
              <w:left w:val="single" w:color="auto" w:sz="4" w:space="0"/>
              <w:bottom w:val="single" w:color="auto" w:sz="4" w:space="0"/>
              <w:right w:val="single" w:color="auto" w:sz="4" w:space="0"/>
            </w:tcBorders>
            <w:vAlign w:val="center"/>
          </w:tcPr>
          <w:p w14:paraId="16DF6E55">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电子病历质控系统</w:t>
            </w:r>
          </w:p>
        </w:tc>
      </w:tr>
      <w:tr w14:paraId="2F18B46E">
        <w:tblPrEx>
          <w:tblCellMar>
            <w:top w:w="0" w:type="dxa"/>
            <w:left w:w="108" w:type="dxa"/>
            <w:bottom w:w="0" w:type="dxa"/>
            <w:right w:w="108" w:type="dxa"/>
          </w:tblCellMar>
        </w:tblPrEx>
        <w:trPr>
          <w:trHeight w:val="375" w:hRule="atLeast"/>
        </w:trPr>
        <w:tc>
          <w:tcPr>
            <w:tcW w:w="1375" w:type="pct"/>
            <w:vMerge w:val="restart"/>
            <w:tcBorders>
              <w:top w:val="nil"/>
              <w:left w:val="single" w:color="auto" w:sz="4" w:space="0"/>
              <w:bottom w:val="single" w:color="auto" w:sz="4" w:space="0"/>
              <w:right w:val="single" w:color="auto" w:sz="4" w:space="0"/>
            </w:tcBorders>
            <w:vAlign w:val="center"/>
          </w:tcPr>
          <w:p w14:paraId="13B1E6CA">
            <w:pPr>
              <w:snapToGrid w:val="0"/>
              <w:spacing w:line="360" w:lineRule="auto"/>
              <w:jc w:val="center"/>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患者服务系统</w:t>
            </w:r>
          </w:p>
        </w:tc>
        <w:tc>
          <w:tcPr>
            <w:tcW w:w="3624" w:type="pct"/>
            <w:tcBorders>
              <w:top w:val="nil"/>
              <w:left w:val="single" w:color="auto" w:sz="4" w:space="0"/>
              <w:bottom w:val="single" w:color="auto" w:sz="4" w:space="0"/>
              <w:right w:val="single" w:color="auto" w:sz="4" w:space="0"/>
            </w:tcBorders>
            <w:vAlign w:val="center"/>
          </w:tcPr>
          <w:p w14:paraId="24B89A84">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一卡通管理系统</w:t>
            </w:r>
          </w:p>
        </w:tc>
      </w:tr>
      <w:tr w14:paraId="5C96D7D5">
        <w:tblPrEx>
          <w:tblCellMar>
            <w:top w:w="0" w:type="dxa"/>
            <w:left w:w="108" w:type="dxa"/>
            <w:bottom w:w="0" w:type="dxa"/>
            <w:right w:w="108" w:type="dxa"/>
          </w:tblCellMar>
        </w:tblPrEx>
        <w:trPr>
          <w:trHeight w:val="375" w:hRule="atLeast"/>
        </w:trPr>
        <w:tc>
          <w:tcPr>
            <w:tcW w:w="1375" w:type="pct"/>
            <w:vMerge w:val="continue"/>
            <w:tcBorders>
              <w:top w:val="nil"/>
              <w:left w:val="single" w:color="auto" w:sz="4" w:space="0"/>
              <w:bottom w:val="single" w:color="auto" w:sz="4" w:space="0"/>
              <w:right w:val="single" w:color="auto" w:sz="4" w:space="0"/>
            </w:tcBorders>
            <w:vAlign w:val="center"/>
          </w:tcPr>
          <w:p w14:paraId="3308C6BB">
            <w:pPr>
              <w:snapToGrid w:val="0"/>
              <w:spacing w:line="360" w:lineRule="auto"/>
              <w:jc w:val="center"/>
              <w:rPr>
                <w:rFonts w:ascii="仿宋" w:hAnsi="仿宋" w:eastAsia="仿宋" w:cs="仿宋"/>
                <w:color w:val="auto"/>
                <w:kern w:val="0"/>
                <w:sz w:val="21"/>
                <w:szCs w:val="21"/>
                <w:highlight w:val="none"/>
              </w:rPr>
            </w:pPr>
          </w:p>
        </w:tc>
        <w:tc>
          <w:tcPr>
            <w:tcW w:w="3624" w:type="pct"/>
            <w:tcBorders>
              <w:top w:val="nil"/>
              <w:left w:val="single" w:color="auto" w:sz="4" w:space="0"/>
              <w:bottom w:val="single" w:color="auto" w:sz="4" w:space="0"/>
              <w:right w:val="single" w:color="auto" w:sz="4" w:space="0"/>
            </w:tcBorders>
            <w:vAlign w:val="center"/>
          </w:tcPr>
          <w:p w14:paraId="6D9F04CC">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病人自助服务系统</w:t>
            </w:r>
          </w:p>
        </w:tc>
      </w:tr>
      <w:tr w14:paraId="2014F53E">
        <w:tblPrEx>
          <w:tblCellMar>
            <w:top w:w="0" w:type="dxa"/>
            <w:left w:w="108" w:type="dxa"/>
            <w:bottom w:w="0" w:type="dxa"/>
            <w:right w:w="108" w:type="dxa"/>
          </w:tblCellMar>
        </w:tblPrEx>
        <w:trPr>
          <w:trHeight w:val="375" w:hRule="atLeast"/>
        </w:trPr>
        <w:tc>
          <w:tcPr>
            <w:tcW w:w="1375" w:type="pct"/>
            <w:vMerge w:val="continue"/>
            <w:tcBorders>
              <w:top w:val="nil"/>
              <w:left w:val="single" w:color="auto" w:sz="4" w:space="0"/>
              <w:bottom w:val="single" w:color="auto" w:sz="4" w:space="0"/>
              <w:right w:val="single" w:color="auto" w:sz="4" w:space="0"/>
            </w:tcBorders>
            <w:vAlign w:val="center"/>
          </w:tcPr>
          <w:p w14:paraId="50F61360">
            <w:pPr>
              <w:snapToGrid w:val="0"/>
              <w:spacing w:line="360" w:lineRule="auto"/>
              <w:jc w:val="center"/>
              <w:rPr>
                <w:rFonts w:ascii="仿宋" w:hAnsi="仿宋" w:eastAsia="仿宋" w:cs="仿宋"/>
                <w:color w:val="auto"/>
                <w:kern w:val="0"/>
                <w:sz w:val="21"/>
                <w:szCs w:val="21"/>
                <w:highlight w:val="none"/>
              </w:rPr>
            </w:pPr>
          </w:p>
        </w:tc>
        <w:tc>
          <w:tcPr>
            <w:tcW w:w="3624" w:type="pct"/>
            <w:tcBorders>
              <w:top w:val="nil"/>
              <w:left w:val="single" w:color="auto" w:sz="4" w:space="0"/>
              <w:bottom w:val="single" w:color="auto" w:sz="4" w:space="0"/>
              <w:right w:val="single" w:color="auto" w:sz="4" w:space="0"/>
            </w:tcBorders>
            <w:vAlign w:val="center"/>
          </w:tcPr>
          <w:p w14:paraId="04813771">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自助挂号系统</w:t>
            </w:r>
          </w:p>
        </w:tc>
      </w:tr>
      <w:tr w14:paraId="3412AB14">
        <w:tblPrEx>
          <w:tblCellMar>
            <w:top w:w="0" w:type="dxa"/>
            <w:left w:w="108" w:type="dxa"/>
            <w:bottom w:w="0" w:type="dxa"/>
            <w:right w:w="108" w:type="dxa"/>
          </w:tblCellMar>
        </w:tblPrEx>
        <w:trPr>
          <w:trHeight w:val="375" w:hRule="atLeast"/>
        </w:trPr>
        <w:tc>
          <w:tcPr>
            <w:tcW w:w="1375" w:type="pct"/>
            <w:vMerge w:val="continue"/>
            <w:tcBorders>
              <w:top w:val="nil"/>
              <w:left w:val="single" w:color="auto" w:sz="4" w:space="0"/>
              <w:bottom w:val="single" w:color="auto" w:sz="4" w:space="0"/>
              <w:right w:val="single" w:color="auto" w:sz="4" w:space="0"/>
            </w:tcBorders>
            <w:vAlign w:val="center"/>
          </w:tcPr>
          <w:p w14:paraId="226445B4">
            <w:pPr>
              <w:snapToGrid w:val="0"/>
              <w:spacing w:line="360" w:lineRule="auto"/>
              <w:jc w:val="center"/>
              <w:rPr>
                <w:rFonts w:ascii="仿宋" w:hAnsi="仿宋" w:eastAsia="仿宋" w:cs="仿宋"/>
                <w:color w:val="auto"/>
                <w:kern w:val="0"/>
                <w:sz w:val="21"/>
                <w:szCs w:val="21"/>
                <w:highlight w:val="none"/>
              </w:rPr>
            </w:pPr>
          </w:p>
        </w:tc>
        <w:tc>
          <w:tcPr>
            <w:tcW w:w="3624" w:type="pct"/>
            <w:tcBorders>
              <w:top w:val="nil"/>
              <w:left w:val="single" w:color="auto" w:sz="4" w:space="0"/>
              <w:bottom w:val="single" w:color="auto" w:sz="4" w:space="0"/>
              <w:right w:val="single" w:color="auto" w:sz="4" w:space="0"/>
            </w:tcBorders>
            <w:vAlign w:val="center"/>
          </w:tcPr>
          <w:p w14:paraId="389CD2B8">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自助报告打印系统</w:t>
            </w:r>
          </w:p>
        </w:tc>
      </w:tr>
      <w:tr w14:paraId="6A42CE43">
        <w:tblPrEx>
          <w:tblCellMar>
            <w:top w:w="0" w:type="dxa"/>
            <w:left w:w="108" w:type="dxa"/>
            <w:bottom w:w="0" w:type="dxa"/>
            <w:right w:w="108" w:type="dxa"/>
          </w:tblCellMar>
        </w:tblPrEx>
        <w:trPr>
          <w:trHeight w:val="375" w:hRule="atLeast"/>
        </w:trPr>
        <w:tc>
          <w:tcPr>
            <w:tcW w:w="1375" w:type="pct"/>
            <w:vMerge w:val="restart"/>
            <w:tcBorders>
              <w:top w:val="nil"/>
              <w:left w:val="single" w:color="auto" w:sz="4" w:space="0"/>
              <w:bottom w:val="single" w:color="auto" w:sz="4" w:space="0"/>
              <w:right w:val="single" w:color="auto" w:sz="4" w:space="0"/>
            </w:tcBorders>
            <w:vAlign w:val="center"/>
          </w:tcPr>
          <w:p w14:paraId="000140FF">
            <w:pPr>
              <w:snapToGrid w:val="0"/>
              <w:spacing w:line="360" w:lineRule="auto"/>
              <w:jc w:val="center"/>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外部接口系统</w:t>
            </w:r>
          </w:p>
        </w:tc>
        <w:tc>
          <w:tcPr>
            <w:tcW w:w="3624" w:type="pct"/>
            <w:tcBorders>
              <w:top w:val="nil"/>
              <w:left w:val="single" w:color="auto" w:sz="4" w:space="0"/>
              <w:bottom w:val="single" w:color="auto" w:sz="4" w:space="0"/>
              <w:right w:val="single" w:color="auto" w:sz="4" w:space="0"/>
            </w:tcBorders>
            <w:vAlign w:val="center"/>
          </w:tcPr>
          <w:p w14:paraId="723358AB">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医保结算与数据上传接口</w:t>
            </w:r>
          </w:p>
        </w:tc>
      </w:tr>
      <w:tr w14:paraId="2702ED2B">
        <w:tblPrEx>
          <w:tblCellMar>
            <w:top w:w="0" w:type="dxa"/>
            <w:left w:w="108" w:type="dxa"/>
            <w:bottom w:w="0" w:type="dxa"/>
            <w:right w:w="108" w:type="dxa"/>
          </w:tblCellMar>
        </w:tblPrEx>
        <w:trPr>
          <w:trHeight w:val="375" w:hRule="atLeast"/>
        </w:trPr>
        <w:tc>
          <w:tcPr>
            <w:tcW w:w="1375" w:type="pct"/>
            <w:vMerge w:val="continue"/>
            <w:tcBorders>
              <w:top w:val="nil"/>
              <w:left w:val="single" w:color="auto" w:sz="4" w:space="0"/>
              <w:bottom w:val="single" w:color="auto" w:sz="4" w:space="0"/>
              <w:right w:val="single" w:color="auto" w:sz="4" w:space="0"/>
            </w:tcBorders>
            <w:vAlign w:val="center"/>
          </w:tcPr>
          <w:p w14:paraId="693BEDA8">
            <w:pPr>
              <w:snapToGrid w:val="0"/>
              <w:spacing w:line="360" w:lineRule="auto"/>
              <w:jc w:val="center"/>
              <w:rPr>
                <w:rFonts w:ascii="仿宋" w:hAnsi="仿宋" w:eastAsia="仿宋" w:cs="仿宋"/>
                <w:color w:val="auto"/>
                <w:kern w:val="0"/>
                <w:sz w:val="21"/>
                <w:szCs w:val="21"/>
                <w:highlight w:val="none"/>
              </w:rPr>
            </w:pPr>
          </w:p>
        </w:tc>
        <w:tc>
          <w:tcPr>
            <w:tcW w:w="3624" w:type="pct"/>
            <w:tcBorders>
              <w:top w:val="nil"/>
              <w:left w:val="single" w:color="auto" w:sz="4" w:space="0"/>
              <w:bottom w:val="single" w:color="auto" w:sz="4" w:space="0"/>
              <w:right w:val="single" w:color="auto" w:sz="4" w:space="0"/>
            </w:tcBorders>
            <w:vAlign w:val="center"/>
          </w:tcPr>
          <w:p w14:paraId="02C77FFE">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临床药学管理系统接口</w:t>
            </w:r>
          </w:p>
        </w:tc>
      </w:tr>
      <w:tr w14:paraId="59594591">
        <w:tblPrEx>
          <w:tblCellMar>
            <w:top w:w="0" w:type="dxa"/>
            <w:left w:w="108" w:type="dxa"/>
            <w:bottom w:w="0" w:type="dxa"/>
            <w:right w:w="108" w:type="dxa"/>
          </w:tblCellMar>
        </w:tblPrEx>
        <w:trPr>
          <w:trHeight w:val="375" w:hRule="atLeast"/>
        </w:trPr>
        <w:tc>
          <w:tcPr>
            <w:tcW w:w="1375" w:type="pct"/>
            <w:vMerge w:val="continue"/>
            <w:tcBorders>
              <w:top w:val="nil"/>
              <w:left w:val="single" w:color="auto" w:sz="4" w:space="0"/>
              <w:bottom w:val="single" w:color="auto" w:sz="4" w:space="0"/>
              <w:right w:val="single" w:color="auto" w:sz="4" w:space="0"/>
            </w:tcBorders>
            <w:vAlign w:val="center"/>
          </w:tcPr>
          <w:p w14:paraId="495EA55B">
            <w:pPr>
              <w:snapToGrid w:val="0"/>
              <w:spacing w:line="360" w:lineRule="auto"/>
              <w:jc w:val="center"/>
              <w:rPr>
                <w:rFonts w:ascii="仿宋" w:hAnsi="仿宋" w:eastAsia="仿宋" w:cs="仿宋"/>
                <w:color w:val="auto"/>
                <w:kern w:val="0"/>
                <w:sz w:val="21"/>
                <w:szCs w:val="21"/>
                <w:highlight w:val="none"/>
              </w:rPr>
            </w:pPr>
          </w:p>
        </w:tc>
        <w:tc>
          <w:tcPr>
            <w:tcW w:w="3624" w:type="pct"/>
            <w:tcBorders>
              <w:top w:val="nil"/>
              <w:left w:val="single" w:color="auto" w:sz="4" w:space="0"/>
              <w:bottom w:val="single" w:color="auto" w:sz="4" w:space="0"/>
              <w:right w:val="single" w:color="auto" w:sz="4" w:space="0"/>
            </w:tcBorders>
            <w:vAlign w:val="center"/>
          </w:tcPr>
          <w:p w14:paraId="089E3615">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健康体检系统接口</w:t>
            </w:r>
          </w:p>
        </w:tc>
      </w:tr>
      <w:tr w14:paraId="2BD47B41">
        <w:tblPrEx>
          <w:tblCellMar>
            <w:top w:w="0" w:type="dxa"/>
            <w:left w:w="108" w:type="dxa"/>
            <w:bottom w:w="0" w:type="dxa"/>
            <w:right w:w="108" w:type="dxa"/>
          </w:tblCellMar>
        </w:tblPrEx>
        <w:trPr>
          <w:trHeight w:val="375" w:hRule="atLeast"/>
        </w:trPr>
        <w:tc>
          <w:tcPr>
            <w:tcW w:w="1375" w:type="pct"/>
            <w:vMerge w:val="continue"/>
            <w:tcBorders>
              <w:top w:val="nil"/>
              <w:left w:val="single" w:color="auto" w:sz="4" w:space="0"/>
              <w:bottom w:val="single" w:color="auto" w:sz="4" w:space="0"/>
              <w:right w:val="single" w:color="auto" w:sz="4" w:space="0"/>
            </w:tcBorders>
            <w:vAlign w:val="center"/>
          </w:tcPr>
          <w:p w14:paraId="1465057F">
            <w:pPr>
              <w:snapToGrid w:val="0"/>
              <w:spacing w:line="360" w:lineRule="auto"/>
              <w:jc w:val="center"/>
              <w:rPr>
                <w:rFonts w:ascii="仿宋" w:hAnsi="仿宋" w:eastAsia="仿宋" w:cs="仿宋"/>
                <w:color w:val="auto"/>
                <w:kern w:val="0"/>
                <w:sz w:val="21"/>
                <w:szCs w:val="21"/>
                <w:highlight w:val="none"/>
              </w:rPr>
            </w:pPr>
          </w:p>
        </w:tc>
        <w:tc>
          <w:tcPr>
            <w:tcW w:w="3624" w:type="pct"/>
            <w:tcBorders>
              <w:top w:val="nil"/>
              <w:left w:val="single" w:color="auto" w:sz="4" w:space="0"/>
              <w:bottom w:val="single" w:color="auto" w:sz="4" w:space="0"/>
              <w:right w:val="single" w:color="auto" w:sz="4" w:space="0"/>
            </w:tcBorders>
            <w:vAlign w:val="center"/>
          </w:tcPr>
          <w:p w14:paraId="13C5EC3D">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手术麻醉系统接口</w:t>
            </w:r>
          </w:p>
        </w:tc>
      </w:tr>
      <w:tr w14:paraId="719D5697">
        <w:tblPrEx>
          <w:tblCellMar>
            <w:top w:w="0" w:type="dxa"/>
            <w:left w:w="108" w:type="dxa"/>
            <w:bottom w:w="0" w:type="dxa"/>
            <w:right w:w="108" w:type="dxa"/>
          </w:tblCellMar>
        </w:tblPrEx>
        <w:trPr>
          <w:trHeight w:val="375" w:hRule="atLeast"/>
        </w:trPr>
        <w:tc>
          <w:tcPr>
            <w:tcW w:w="1375" w:type="pct"/>
            <w:vMerge w:val="continue"/>
            <w:tcBorders>
              <w:top w:val="nil"/>
              <w:left w:val="single" w:color="auto" w:sz="4" w:space="0"/>
              <w:bottom w:val="single" w:color="auto" w:sz="4" w:space="0"/>
              <w:right w:val="single" w:color="auto" w:sz="4" w:space="0"/>
            </w:tcBorders>
            <w:vAlign w:val="center"/>
          </w:tcPr>
          <w:p w14:paraId="7C0EA21B">
            <w:pPr>
              <w:snapToGrid w:val="0"/>
              <w:spacing w:line="360" w:lineRule="auto"/>
              <w:jc w:val="center"/>
              <w:rPr>
                <w:rFonts w:ascii="仿宋" w:hAnsi="仿宋" w:eastAsia="仿宋" w:cs="仿宋"/>
                <w:color w:val="auto"/>
                <w:kern w:val="0"/>
                <w:sz w:val="21"/>
                <w:szCs w:val="21"/>
                <w:highlight w:val="none"/>
              </w:rPr>
            </w:pPr>
          </w:p>
        </w:tc>
        <w:tc>
          <w:tcPr>
            <w:tcW w:w="3624" w:type="pct"/>
            <w:tcBorders>
              <w:top w:val="nil"/>
              <w:left w:val="single" w:color="auto" w:sz="4" w:space="0"/>
              <w:bottom w:val="single" w:color="auto" w:sz="4" w:space="0"/>
              <w:right w:val="single" w:color="auto" w:sz="4" w:space="0"/>
            </w:tcBorders>
            <w:vAlign w:val="center"/>
          </w:tcPr>
          <w:p w14:paraId="6A5A088D">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电生理系统接口</w:t>
            </w:r>
          </w:p>
        </w:tc>
      </w:tr>
      <w:tr w14:paraId="2812EDDC">
        <w:tblPrEx>
          <w:tblCellMar>
            <w:top w:w="0" w:type="dxa"/>
            <w:left w:w="108" w:type="dxa"/>
            <w:bottom w:w="0" w:type="dxa"/>
            <w:right w:w="108" w:type="dxa"/>
          </w:tblCellMar>
        </w:tblPrEx>
        <w:trPr>
          <w:trHeight w:val="375" w:hRule="atLeast"/>
        </w:trPr>
        <w:tc>
          <w:tcPr>
            <w:tcW w:w="1375" w:type="pct"/>
            <w:vMerge w:val="continue"/>
            <w:tcBorders>
              <w:top w:val="nil"/>
              <w:left w:val="single" w:color="auto" w:sz="4" w:space="0"/>
              <w:bottom w:val="single" w:color="auto" w:sz="4" w:space="0"/>
              <w:right w:val="single" w:color="auto" w:sz="4" w:space="0"/>
            </w:tcBorders>
            <w:vAlign w:val="center"/>
          </w:tcPr>
          <w:p w14:paraId="1CFDAAD1">
            <w:pPr>
              <w:snapToGrid w:val="0"/>
              <w:spacing w:line="360" w:lineRule="auto"/>
              <w:jc w:val="center"/>
              <w:rPr>
                <w:rFonts w:ascii="仿宋" w:hAnsi="仿宋" w:eastAsia="仿宋" w:cs="仿宋"/>
                <w:color w:val="auto"/>
                <w:kern w:val="0"/>
                <w:sz w:val="21"/>
                <w:szCs w:val="21"/>
                <w:highlight w:val="none"/>
              </w:rPr>
            </w:pPr>
          </w:p>
        </w:tc>
        <w:tc>
          <w:tcPr>
            <w:tcW w:w="3624" w:type="pct"/>
            <w:tcBorders>
              <w:top w:val="nil"/>
              <w:left w:val="single" w:color="auto" w:sz="4" w:space="0"/>
              <w:bottom w:val="single" w:color="auto" w:sz="4" w:space="0"/>
              <w:right w:val="single" w:color="auto" w:sz="4" w:space="0"/>
            </w:tcBorders>
            <w:vAlign w:val="center"/>
          </w:tcPr>
          <w:p w14:paraId="5284D02B">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单病种管理系统接口</w:t>
            </w:r>
          </w:p>
        </w:tc>
      </w:tr>
      <w:tr w14:paraId="101E8F3F">
        <w:tblPrEx>
          <w:tblCellMar>
            <w:top w:w="0" w:type="dxa"/>
            <w:left w:w="108" w:type="dxa"/>
            <w:bottom w:w="0" w:type="dxa"/>
            <w:right w:w="108" w:type="dxa"/>
          </w:tblCellMar>
        </w:tblPrEx>
        <w:trPr>
          <w:trHeight w:val="375" w:hRule="atLeast"/>
        </w:trPr>
        <w:tc>
          <w:tcPr>
            <w:tcW w:w="1375" w:type="pct"/>
            <w:vMerge w:val="continue"/>
            <w:tcBorders>
              <w:top w:val="nil"/>
              <w:left w:val="single" w:color="auto" w:sz="4" w:space="0"/>
              <w:bottom w:val="single" w:color="auto" w:sz="4" w:space="0"/>
              <w:right w:val="single" w:color="auto" w:sz="4" w:space="0"/>
            </w:tcBorders>
            <w:vAlign w:val="center"/>
          </w:tcPr>
          <w:p w14:paraId="6F84C890">
            <w:pPr>
              <w:snapToGrid w:val="0"/>
              <w:spacing w:line="360" w:lineRule="auto"/>
              <w:jc w:val="center"/>
              <w:rPr>
                <w:rFonts w:ascii="仿宋" w:hAnsi="仿宋" w:eastAsia="仿宋" w:cs="仿宋"/>
                <w:color w:val="auto"/>
                <w:kern w:val="0"/>
                <w:sz w:val="21"/>
                <w:szCs w:val="21"/>
                <w:highlight w:val="none"/>
              </w:rPr>
            </w:pPr>
          </w:p>
        </w:tc>
        <w:tc>
          <w:tcPr>
            <w:tcW w:w="3624" w:type="pct"/>
            <w:tcBorders>
              <w:top w:val="nil"/>
              <w:left w:val="single" w:color="auto" w:sz="4" w:space="0"/>
              <w:bottom w:val="single" w:color="auto" w:sz="4" w:space="0"/>
              <w:right w:val="single" w:color="auto" w:sz="4" w:space="0"/>
            </w:tcBorders>
            <w:vAlign w:val="center"/>
          </w:tcPr>
          <w:p w14:paraId="21896EE5">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财务管理系统接口</w:t>
            </w:r>
          </w:p>
        </w:tc>
      </w:tr>
      <w:tr w14:paraId="42104F87">
        <w:tblPrEx>
          <w:tblCellMar>
            <w:top w:w="0" w:type="dxa"/>
            <w:left w:w="108" w:type="dxa"/>
            <w:bottom w:w="0" w:type="dxa"/>
            <w:right w:w="108" w:type="dxa"/>
          </w:tblCellMar>
        </w:tblPrEx>
        <w:trPr>
          <w:trHeight w:val="375" w:hRule="atLeast"/>
        </w:trPr>
        <w:tc>
          <w:tcPr>
            <w:tcW w:w="1375" w:type="pct"/>
            <w:vMerge w:val="continue"/>
            <w:tcBorders>
              <w:top w:val="nil"/>
              <w:left w:val="single" w:color="auto" w:sz="4" w:space="0"/>
              <w:bottom w:val="single" w:color="auto" w:sz="4" w:space="0"/>
              <w:right w:val="single" w:color="auto" w:sz="4" w:space="0"/>
            </w:tcBorders>
            <w:vAlign w:val="center"/>
          </w:tcPr>
          <w:p w14:paraId="7F7F35FB">
            <w:pPr>
              <w:snapToGrid w:val="0"/>
              <w:spacing w:line="360" w:lineRule="auto"/>
              <w:jc w:val="center"/>
              <w:rPr>
                <w:rFonts w:ascii="仿宋" w:hAnsi="仿宋" w:eastAsia="仿宋" w:cs="仿宋"/>
                <w:color w:val="auto"/>
                <w:kern w:val="0"/>
                <w:sz w:val="21"/>
                <w:szCs w:val="21"/>
                <w:highlight w:val="none"/>
              </w:rPr>
            </w:pPr>
          </w:p>
        </w:tc>
        <w:tc>
          <w:tcPr>
            <w:tcW w:w="3624" w:type="pct"/>
            <w:tcBorders>
              <w:top w:val="nil"/>
              <w:left w:val="single" w:color="auto" w:sz="4" w:space="0"/>
              <w:bottom w:val="single" w:color="auto" w:sz="4" w:space="0"/>
              <w:right w:val="single" w:color="auto" w:sz="4" w:space="0"/>
            </w:tcBorders>
            <w:vAlign w:val="center"/>
          </w:tcPr>
          <w:p w14:paraId="53452E8E">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院感管理系统接口</w:t>
            </w:r>
          </w:p>
        </w:tc>
      </w:tr>
      <w:tr w14:paraId="54E0E960">
        <w:tblPrEx>
          <w:tblCellMar>
            <w:top w:w="0" w:type="dxa"/>
            <w:left w:w="108" w:type="dxa"/>
            <w:bottom w:w="0" w:type="dxa"/>
            <w:right w:w="108" w:type="dxa"/>
          </w:tblCellMar>
        </w:tblPrEx>
        <w:trPr>
          <w:trHeight w:val="375" w:hRule="atLeast"/>
        </w:trPr>
        <w:tc>
          <w:tcPr>
            <w:tcW w:w="1375" w:type="pct"/>
            <w:vMerge w:val="continue"/>
            <w:tcBorders>
              <w:top w:val="nil"/>
              <w:left w:val="single" w:color="auto" w:sz="4" w:space="0"/>
              <w:bottom w:val="single" w:color="auto" w:sz="4" w:space="0"/>
              <w:right w:val="single" w:color="auto" w:sz="4" w:space="0"/>
            </w:tcBorders>
            <w:vAlign w:val="center"/>
          </w:tcPr>
          <w:p w14:paraId="787C969B">
            <w:pPr>
              <w:snapToGrid w:val="0"/>
              <w:spacing w:line="360" w:lineRule="auto"/>
              <w:jc w:val="center"/>
              <w:rPr>
                <w:rFonts w:ascii="仿宋" w:hAnsi="仿宋" w:eastAsia="仿宋" w:cs="仿宋"/>
                <w:color w:val="auto"/>
                <w:kern w:val="0"/>
                <w:sz w:val="21"/>
                <w:szCs w:val="21"/>
                <w:highlight w:val="none"/>
              </w:rPr>
            </w:pPr>
          </w:p>
        </w:tc>
        <w:tc>
          <w:tcPr>
            <w:tcW w:w="3624" w:type="pct"/>
            <w:tcBorders>
              <w:top w:val="nil"/>
              <w:left w:val="single" w:color="auto" w:sz="4" w:space="0"/>
              <w:bottom w:val="single" w:color="auto" w:sz="4" w:space="0"/>
              <w:right w:val="single" w:color="auto" w:sz="4" w:space="0"/>
            </w:tcBorders>
            <w:vAlign w:val="center"/>
          </w:tcPr>
          <w:p w14:paraId="00180E6E">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排队叫号系统接口</w:t>
            </w:r>
          </w:p>
        </w:tc>
      </w:tr>
      <w:tr w14:paraId="6A89A560">
        <w:tblPrEx>
          <w:tblCellMar>
            <w:top w:w="0" w:type="dxa"/>
            <w:left w:w="108" w:type="dxa"/>
            <w:bottom w:w="0" w:type="dxa"/>
            <w:right w:w="108" w:type="dxa"/>
          </w:tblCellMar>
        </w:tblPrEx>
        <w:trPr>
          <w:trHeight w:val="375" w:hRule="atLeast"/>
        </w:trPr>
        <w:tc>
          <w:tcPr>
            <w:tcW w:w="1375" w:type="pct"/>
            <w:vMerge w:val="continue"/>
            <w:tcBorders>
              <w:top w:val="nil"/>
              <w:left w:val="single" w:color="auto" w:sz="4" w:space="0"/>
              <w:bottom w:val="single" w:color="auto" w:sz="4" w:space="0"/>
              <w:right w:val="single" w:color="auto" w:sz="4" w:space="0"/>
            </w:tcBorders>
            <w:vAlign w:val="center"/>
          </w:tcPr>
          <w:p w14:paraId="58AA7436">
            <w:pPr>
              <w:snapToGrid w:val="0"/>
              <w:spacing w:line="360" w:lineRule="auto"/>
              <w:jc w:val="center"/>
              <w:rPr>
                <w:rFonts w:ascii="仿宋" w:hAnsi="仿宋" w:eastAsia="仿宋" w:cs="仿宋"/>
                <w:color w:val="auto"/>
                <w:kern w:val="0"/>
                <w:sz w:val="21"/>
                <w:szCs w:val="21"/>
                <w:highlight w:val="none"/>
              </w:rPr>
            </w:pPr>
          </w:p>
        </w:tc>
        <w:tc>
          <w:tcPr>
            <w:tcW w:w="3624" w:type="pct"/>
            <w:tcBorders>
              <w:top w:val="nil"/>
              <w:left w:val="single" w:color="auto" w:sz="4" w:space="0"/>
              <w:bottom w:val="single" w:color="auto" w:sz="4" w:space="0"/>
              <w:right w:val="single" w:color="auto" w:sz="4" w:space="0"/>
            </w:tcBorders>
            <w:vAlign w:val="center"/>
          </w:tcPr>
          <w:p w14:paraId="29EA4B11">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医保药品追溯系统接口（新增）</w:t>
            </w:r>
          </w:p>
        </w:tc>
      </w:tr>
      <w:tr w14:paraId="49A9D1E6">
        <w:tblPrEx>
          <w:tblCellMar>
            <w:top w:w="0" w:type="dxa"/>
            <w:left w:w="108" w:type="dxa"/>
            <w:bottom w:w="0" w:type="dxa"/>
            <w:right w:w="108" w:type="dxa"/>
          </w:tblCellMar>
        </w:tblPrEx>
        <w:trPr>
          <w:trHeight w:val="375" w:hRule="atLeast"/>
        </w:trPr>
        <w:tc>
          <w:tcPr>
            <w:tcW w:w="1375" w:type="pct"/>
            <w:vMerge w:val="continue"/>
            <w:tcBorders>
              <w:top w:val="nil"/>
              <w:left w:val="single" w:color="auto" w:sz="4" w:space="0"/>
              <w:bottom w:val="single" w:color="auto" w:sz="4" w:space="0"/>
              <w:right w:val="single" w:color="auto" w:sz="4" w:space="0"/>
            </w:tcBorders>
            <w:vAlign w:val="center"/>
          </w:tcPr>
          <w:p w14:paraId="2A8003DC">
            <w:pPr>
              <w:snapToGrid w:val="0"/>
              <w:spacing w:line="360" w:lineRule="auto"/>
              <w:jc w:val="center"/>
              <w:rPr>
                <w:rFonts w:ascii="仿宋" w:hAnsi="仿宋" w:eastAsia="仿宋" w:cs="仿宋"/>
                <w:color w:val="auto"/>
                <w:kern w:val="0"/>
                <w:sz w:val="21"/>
                <w:szCs w:val="21"/>
                <w:highlight w:val="none"/>
              </w:rPr>
            </w:pPr>
          </w:p>
        </w:tc>
        <w:tc>
          <w:tcPr>
            <w:tcW w:w="3624" w:type="pct"/>
            <w:tcBorders>
              <w:top w:val="nil"/>
              <w:left w:val="single" w:color="auto" w:sz="4" w:space="0"/>
              <w:bottom w:val="single" w:color="auto" w:sz="4" w:space="0"/>
              <w:right w:val="single" w:color="auto" w:sz="4" w:space="0"/>
            </w:tcBorders>
            <w:vAlign w:val="center"/>
          </w:tcPr>
          <w:p w14:paraId="0FDFFB0A">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传染病监测预警系统接口（新增）</w:t>
            </w:r>
          </w:p>
        </w:tc>
      </w:tr>
      <w:tr w14:paraId="193C010A">
        <w:tblPrEx>
          <w:tblCellMar>
            <w:top w:w="0" w:type="dxa"/>
            <w:left w:w="108" w:type="dxa"/>
            <w:bottom w:w="0" w:type="dxa"/>
            <w:right w:w="108" w:type="dxa"/>
          </w:tblCellMar>
        </w:tblPrEx>
        <w:trPr>
          <w:trHeight w:val="375" w:hRule="atLeast"/>
        </w:trPr>
        <w:tc>
          <w:tcPr>
            <w:tcW w:w="1375" w:type="pct"/>
            <w:vMerge w:val="continue"/>
            <w:tcBorders>
              <w:top w:val="nil"/>
              <w:left w:val="single" w:color="auto" w:sz="4" w:space="0"/>
              <w:bottom w:val="single" w:color="auto" w:sz="4" w:space="0"/>
              <w:right w:val="single" w:color="auto" w:sz="4" w:space="0"/>
            </w:tcBorders>
            <w:vAlign w:val="center"/>
          </w:tcPr>
          <w:p w14:paraId="24B2F2DB">
            <w:pPr>
              <w:snapToGrid w:val="0"/>
              <w:spacing w:line="360" w:lineRule="auto"/>
              <w:jc w:val="center"/>
              <w:rPr>
                <w:rFonts w:ascii="仿宋" w:hAnsi="仿宋" w:eastAsia="仿宋" w:cs="仿宋"/>
                <w:color w:val="auto"/>
                <w:kern w:val="0"/>
                <w:sz w:val="21"/>
                <w:szCs w:val="21"/>
                <w:highlight w:val="none"/>
              </w:rPr>
            </w:pPr>
          </w:p>
        </w:tc>
        <w:tc>
          <w:tcPr>
            <w:tcW w:w="3624" w:type="pct"/>
            <w:tcBorders>
              <w:top w:val="nil"/>
              <w:left w:val="single" w:color="auto" w:sz="4" w:space="0"/>
              <w:bottom w:val="single" w:color="auto" w:sz="4" w:space="0"/>
              <w:right w:val="single" w:color="auto" w:sz="4" w:space="0"/>
            </w:tcBorders>
            <w:vAlign w:val="center"/>
          </w:tcPr>
          <w:p w14:paraId="4641B41E">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食源性疾病监测系统接口（新增）</w:t>
            </w:r>
          </w:p>
        </w:tc>
      </w:tr>
      <w:tr w14:paraId="30AA010C">
        <w:tblPrEx>
          <w:tblCellMar>
            <w:top w:w="0" w:type="dxa"/>
            <w:left w:w="108" w:type="dxa"/>
            <w:bottom w:w="0" w:type="dxa"/>
            <w:right w:w="108" w:type="dxa"/>
          </w:tblCellMar>
        </w:tblPrEx>
        <w:trPr>
          <w:trHeight w:val="375" w:hRule="atLeast"/>
        </w:trPr>
        <w:tc>
          <w:tcPr>
            <w:tcW w:w="1375" w:type="pct"/>
            <w:vMerge w:val="restart"/>
            <w:tcBorders>
              <w:top w:val="nil"/>
              <w:left w:val="single" w:color="auto" w:sz="4" w:space="0"/>
              <w:bottom w:val="single" w:color="auto" w:sz="4" w:space="0"/>
              <w:right w:val="single" w:color="auto" w:sz="4" w:space="0"/>
            </w:tcBorders>
            <w:vAlign w:val="center"/>
          </w:tcPr>
          <w:p w14:paraId="1EE0571F">
            <w:pPr>
              <w:snapToGrid w:val="0"/>
              <w:spacing w:line="360" w:lineRule="auto"/>
              <w:jc w:val="center"/>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其他</w:t>
            </w:r>
          </w:p>
        </w:tc>
        <w:tc>
          <w:tcPr>
            <w:tcW w:w="3624" w:type="pct"/>
            <w:tcBorders>
              <w:top w:val="nil"/>
              <w:left w:val="single" w:color="auto" w:sz="4" w:space="0"/>
              <w:bottom w:val="single" w:color="auto" w:sz="4" w:space="0"/>
              <w:right w:val="single" w:color="auto" w:sz="4" w:space="0"/>
            </w:tcBorders>
            <w:vAlign w:val="center"/>
          </w:tcPr>
          <w:p w14:paraId="505C9D98">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系统管理工具</w:t>
            </w:r>
          </w:p>
        </w:tc>
      </w:tr>
      <w:tr w14:paraId="11EFBEC2">
        <w:tblPrEx>
          <w:tblCellMar>
            <w:top w:w="0" w:type="dxa"/>
            <w:left w:w="108" w:type="dxa"/>
            <w:bottom w:w="0" w:type="dxa"/>
            <w:right w:w="108" w:type="dxa"/>
          </w:tblCellMar>
        </w:tblPrEx>
        <w:trPr>
          <w:trHeight w:val="375" w:hRule="atLeast"/>
        </w:trPr>
        <w:tc>
          <w:tcPr>
            <w:tcW w:w="1375" w:type="pct"/>
            <w:vMerge w:val="continue"/>
            <w:tcBorders>
              <w:top w:val="nil"/>
              <w:left w:val="single" w:color="auto" w:sz="4" w:space="0"/>
              <w:bottom w:val="single" w:color="auto" w:sz="4" w:space="0"/>
              <w:right w:val="single" w:color="auto" w:sz="4" w:space="0"/>
            </w:tcBorders>
            <w:vAlign w:val="center"/>
          </w:tcPr>
          <w:p w14:paraId="323B0146">
            <w:pPr>
              <w:snapToGrid w:val="0"/>
              <w:spacing w:line="360" w:lineRule="auto"/>
              <w:rPr>
                <w:rFonts w:ascii="仿宋" w:hAnsi="仿宋" w:eastAsia="仿宋" w:cs="仿宋"/>
                <w:color w:val="auto"/>
                <w:kern w:val="0"/>
                <w:sz w:val="21"/>
                <w:szCs w:val="21"/>
                <w:highlight w:val="none"/>
              </w:rPr>
            </w:pPr>
          </w:p>
        </w:tc>
        <w:tc>
          <w:tcPr>
            <w:tcW w:w="3624" w:type="pct"/>
            <w:tcBorders>
              <w:top w:val="nil"/>
              <w:left w:val="single" w:color="auto" w:sz="4" w:space="0"/>
              <w:bottom w:val="single" w:color="auto" w:sz="4" w:space="0"/>
              <w:right w:val="single" w:color="auto" w:sz="4" w:space="0"/>
            </w:tcBorders>
            <w:vAlign w:val="center"/>
          </w:tcPr>
          <w:p w14:paraId="22B21E84">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数据处理平台</w:t>
            </w:r>
          </w:p>
        </w:tc>
      </w:tr>
      <w:tr w14:paraId="1307A749">
        <w:tblPrEx>
          <w:tblCellMar>
            <w:top w:w="0" w:type="dxa"/>
            <w:left w:w="108" w:type="dxa"/>
            <w:bottom w:w="0" w:type="dxa"/>
            <w:right w:w="108" w:type="dxa"/>
          </w:tblCellMar>
        </w:tblPrEx>
        <w:trPr>
          <w:trHeight w:val="375" w:hRule="atLeast"/>
        </w:trPr>
        <w:tc>
          <w:tcPr>
            <w:tcW w:w="1375" w:type="pct"/>
            <w:vMerge w:val="continue"/>
            <w:tcBorders>
              <w:top w:val="nil"/>
              <w:left w:val="single" w:color="auto" w:sz="4" w:space="0"/>
              <w:bottom w:val="single" w:color="auto" w:sz="4" w:space="0"/>
              <w:right w:val="single" w:color="auto" w:sz="4" w:space="0"/>
            </w:tcBorders>
            <w:vAlign w:val="center"/>
          </w:tcPr>
          <w:p w14:paraId="4604F2A5">
            <w:pPr>
              <w:snapToGrid w:val="0"/>
              <w:spacing w:line="360" w:lineRule="auto"/>
              <w:rPr>
                <w:rFonts w:ascii="仿宋" w:hAnsi="仿宋" w:eastAsia="仿宋" w:cs="仿宋"/>
                <w:color w:val="auto"/>
                <w:kern w:val="0"/>
                <w:sz w:val="21"/>
                <w:szCs w:val="21"/>
                <w:highlight w:val="none"/>
              </w:rPr>
            </w:pPr>
          </w:p>
        </w:tc>
        <w:tc>
          <w:tcPr>
            <w:tcW w:w="3624" w:type="pct"/>
            <w:tcBorders>
              <w:top w:val="nil"/>
              <w:left w:val="single" w:color="auto" w:sz="4" w:space="0"/>
              <w:bottom w:val="single" w:color="auto" w:sz="4" w:space="0"/>
              <w:right w:val="single" w:color="auto" w:sz="4" w:space="0"/>
            </w:tcBorders>
            <w:vAlign w:val="center"/>
          </w:tcPr>
          <w:p w14:paraId="4A1D689D">
            <w:pPr>
              <w:snapToGrid w:val="0"/>
              <w:spacing w:line="360" w:lineRule="auto"/>
              <w:rPr>
                <w:rFonts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自定义报表系统</w:t>
            </w:r>
          </w:p>
        </w:tc>
      </w:tr>
    </w:tbl>
    <w:p w14:paraId="367FC3B9">
      <w:pPr>
        <w:rPr>
          <w:rFonts w:hint="eastAsia" w:ascii="仿宋" w:hAnsi="仿宋" w:eastAsia="仿宋" w:cs="仿宋"/>
          <w:color w:val="auto"/>
          <w:szCs w:val="21"/>
          <w:highlight w:val="none"/>
          <w:lang w:bidi="ar"/>
        </w:rPr>
      </w:pPr>
    </w:p>
    <w:p w14:paraId="3CD9B6A1">
      <w:pPr>
        <w:pStyle w:val="2"/>
        <w:rPr>
          <w:color w:val="auto"/>
          <w:sz w:val="21"/>
          <w:szCs w:val="21"/>
          <w:highlight w:val="none"/>
        </w:rPr>
        <w:sectPr>
          <w:footerReference r:id="rId3" w:type="default"/>
          <w:pgSz w:w="11906" w:h="16838"/>
          <w:pgMar w:top="1134" w:right="1134" w:bottom="935" w:left="1134" w:header="851" w:footer="992" w:gutter="0"/>
          <w:cols w:space="0" w:num="1"/>
          <w:docGrid w:type="lines" w:linePitch="321" w:charSpace="0"/>
        </w:sectPr>
      </w:pPr>
    </w:p>
    <w:p w14:paraId="074009F2">
      <w:pPr>
        <w:pStyle w:val="2"/>
        <w:ind w:firstLine="0" w:firstLineChars="0"/>
        <w:rPr>
          <w:b/>
          <w:color w:val="auto"/>
          <w:sz w:val="21"/>
          <w:szCs w:val="21"/>
          <w:highlight w:val="none"/>
          <w:lang w:eastAsia="zh-CN"/>
        </w:rPr>
      </w:pPr>
      <w:r>
        <w:rPr>
          <w:rFonts w:hint="eastAsia"/>
          <w:b/>
          <w:color w:val="auto"/>
          <w:sz w:val="21"/>
          <w:szCs w:val="21"/>
          <w:highlight w:val="none"/>
          <w:lang w:eastAsia="zh-CN"/>
        </w:rPr>
        <w:t>附件2：医院信息系统故障分级标准及响应时间明细表</w:t>
      </w:r>
    </w:p>
    <w:tbl>
      <w:tblPr>
        <w:tblStyle w:val="10"/>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1"/>
        <w:gridCol w:w="1389"/>
        <w:gridCol w:w="3465"/>
        <w:gridCol w:w="2764"/>
      </w:tblGrid>
      <w:tr w14:paraId="7D603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9" w:type="pct"/>
            <w:vAlign w:val="center"/>
          </w:tcPr>
          <w:p w14:paraId="2005024E">
            <w:pPr>
              <w:snapToGrid w:val="0"/>
              <w:spacing w:line="360" w:lineRule="auto"/>
              <w:jc w:val="center"/>
              <w:rPr>
                <w:rFonts w:ascii="仿宋" w:hAnsi="仿宋" w:eastAsia="仿宋" w:cs="仿宋"/>
                <w:b/>
                <w:color w:val="auto"/>
                <w:sz w:val="21"/>
                <w:szCs w:val="21"/>
                <w:highlight w:val="none"/>
              </w:rPr>
            </w:pPr>
            <w:r>
              <w:rPr>
                <w:rFonts w:hint="eastAsia" w:ascii="仿宋" w:hAnsi="仿宋" w:eastAsia="仿宋" w:cs="仿宋"/>
                <w:b/>
                <w:color w:val="auto"/>
                <w:sz w:val="21"/>
                <w:szCs w:val="21"/>
                <w:highlight w:val="none"/>
              </w:rPr>
              <w:t>序号</w:t>
            </w:r>
          </w:p>
        </w:tc>
        <w:tc>
          <w:tcPr>
            <w:tcW w:w="815" w:type="pct"/>
            <w:vAlign w:val="center"/>
          </w:tcPr>
          <w:p w14:paraId="21210230">
            <w:pPr>
              <w:snapToGrid w:val="0"/>
              <w:spacing w:line="360" w:lineRule="auto"/>
              <w:jc w:val="center"/>
              <w:rPr>
                <w:rFonts w:ascii="仿宋" w:hAnsi="仿宋" w:eastAsia="仿宋" w:cs="仿宋"/>
                <w:b/>
                <w:color w:val="auto"/>
                <w:sz w:val="21"/>
                <w:szCs w:val="21"/>
                <w:highlight w:val="none"/>
              </w:rPr>
            </w:pPr>
            <w:r>
              <w:rPr>
                <w:rFonts w:hint="eastAsia" w:ascii="仿宋" w:hAnsi="仿宋" w:eastAsia="仿宋" w:cs="仿宋"/>
                <w:b/>
                <w:color w:val="auto"/>
                <w:sz w:val="21"/>
                <w:szCs w:val="21"/>
                <w:highlight w:val="none"/>
              </w:rPr>
              <w:t>故障等级</w:t>
            </w:r>
          </w:p>
        </w:tc>
        <w:tc>
          <w:tcPr>
            <w:tcW w:w="2033" w:type="pct"/>
            <w:vAlign w:val="center"/>
          </w:tcPr>
          <w:p w14:paraId="37F814DD">
            <w:pPr>
              <w:snapToGrid w:val="0"/>
              <w:spacing w:line="360" w:lineRule="auto"/>
              <w:jc w:val="center"/>
              <w:rPr>
                <w:rFonts w:ascii="仿宋" w:hAnsi="仿宋" w:eastAsia="仿宋" w:cs="仿宋"/>
                <w:b/>
                <w:color w:val="auto"/>
                <w:sz w:val="21"/>
                <w:szCs w:val="21"/>
                <w:highlight w:val="none"/>
              </w:rPr>
            </w:pPr>
            <w:r>
              <w:rPr>
                <w:rFonts w:hint="eastAsia" w:ascii="仿宋" w:hAnsi="仿宋" w:eastAsia="仿宋" w:cs="仿宋"/>
                <w:b/>
                <w:color w:val="auto"/>
                <w:sz w:val="21"/>
                <w:szCs w:val="21"/>
                <w:highlight w:val="none"/>
              </w:rPr>
              <w:t>故障情况描述</w:t>
            </w:r>
          </w:p>
        </w:tc>
        <w:tc>
          <w:tcPr>
            <w:tcW w:w="1622" w:type="pct"/>
            <w:vAlign w:val="center"/>
          </w:tcPr>
          <w:p w14:paraId="07E51D3B">
            <w:pPr>
              <w:snapToGrid w:val="0"/>
              <w:spacing w:line="360" w:lineRule="auto"/>
              <w:jc w:val="center"/>
              <w:rPr>
                <w:rFonts w:ascii="仿宋" w:hAnsi="仿宋" w:eastAsia="仿宋" w:cs="仿宋"/>
                <w:b/>
                <w:color w:val="auto"/>
                <w:sz w:val="21"/>
                <w:szCs w:val="21"/>
                <w:highlight w:val="none"/>
              </w:rPr>
            </w:pPr>
            <w:r>
              <w:rPr>
                <w:rFonts w:hint="eastAsia" w:ascii="仿宋" w:hAnsi="仿宋" w:eastAsia="仿宋" w:cs="仿宋"/>
                <w:b/>
                <w:color w:val="auto"/>
                <w:sz w:val="21"/>
                <w:szCs w:val="21"/>
                <w:highlight w:val="none"/>
              </w:rPr>
              <w:t>响应时间要求</w:t>
            </w:r>
          </w:p>
        </w:tc>
      </w:tr>
      <w:tr w14:paraId="2F157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9" w:type="pct"/>
            <w:vAlign w:val="center"/>
          </w:tcPr>
          <w:p w14:paraId="38A281AB">
            <w:pPr>
              <w:snapToGrid w:val="0"/>
              <w:spacing w:line="36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815" w:type="pct"/>
            <w:vAlign w:val="center"/>
          </w:tcPr>
          <w:p w14:paraId="0C19A67A">
            <w:pPr>
              <w:snapToGrid w:val="0"/>
              <w:spacing w:line="36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一级故障</w:t>
            </w:r>
          </w:p>
        </w:tc>
        <w:tc>
          <w:tcPr>
            <w:tcW w:w="2033" w:type="pct"/>
            <w:vAlign w:val="center"/>
          </w:tcPr>
          <w:p w14:paraId="5FB6341C">
            <w:pPr>
              <w:snapToGrid w:val="0"/>
              <w:spacing w:line="360" w:lineRule="auto"/>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信息系统瘫痪，或出现多部门终端用户的业务无法办理，严重影响医院业务正常运作。</w:t>
            </w:r>
          </w:p>
        </w:tc>
        <w:tc>
          <w:tcPr>
            <w:tcW w:w="1622" w:type="pct"/>
            <w:vAlign w:val="center"/>
          </w:tcPr>
          <w:p w14:paraId="4CC03E15">
            <w:pPr>
              <w:snapToGrid w:val="0"/>
              <w:spacing w:line="360" w:lineRule="auto"/>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服务商应在10分钟内响应，1小时内到达现场，6小时内解决问题，或提供相应解决方案直至系统恢复正常。</w:t>
            </w:r>
          </w:p>
        </w:tc>
      </w:tr>
      <w:tr w14:paraId="42788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9" w:type="pct"/>
            <w:vAlign w:val="center"/>
          </w:tcPr>
          <w:p w14:paraId="7FF1CAB8">
            <w:pPr>
              <w:snapToGrid w:val="0"/>
              <w:spacing w:line="36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2</w:t>
            </w:r>
          </w:p>
        </w:tc>
        <w:tc>
          <w:tcPr>
            <w:tcW w:w="815" w:type="pct"/>
            <w:vAlign w:val="center"/>
          </w:tcPr>
          <w:p w14:paraId="0DE8E044">
            <w:pPr>
              <w:snapToGrid w:val="0"/>
              <w:spacing w:line="36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二级故障</w:t>
            </w:r>
          </w:p>
        </w:tc>
        <w:tc>
          <w:tcPr>
            <w:tcW w:w="2033" w:type="pct"/>
            <w:vAlign w:val="center"/>
          </w:tcPr>
          <w:p w14:paraId="55C2F9D3">
            <w:pPr>
              <w:snapToGrid w:val="0"/>
              <w:spacing w:line="360" w:lineRule="auto"/>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信息系统的操作性能严重降级，或由于系统性能失常严重影响用户的业务动作。</w:t>
            </w:r>
          </w:p>
        </w:tc>
        <w:tc>
          <w:tcPr>
            <w:tcW w:w="1622" w:type="pct"/>
            <w:vAlign w:val="center"/>
          </w:tcPr>
          <w:p w14:paraId="054744BE">
            <w:pPr>
              <w:snapToGrid w:val="0"/>
              <w:spacing w:line="360" w:lineRule="auto"/>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服务商应在30分钟内响应，2小时内到达现场或远程维护，12小时内解决问题，或提供相应解决方案直至系统恢复正常。</w:t>
            </w:r>
          </w:p>
        </w:tc>
      </w:tr>
      <w:tr w14:paraId="53C80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9" w:type="pct"/>
            <w:vAlign w:val="center"/>
          </w:tcPr>
          <w:p w14:paraId="636EFFC9">
            <w:pPr>
              <w:snapToGrid w:val="0"/>
              <w:spacing w:line="36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3</w:t>
            </w:r>
          </w:p>
        </w:tc>
        <w:tc>
          <w:tcPr>
            <w:tcW w:w="815" w:type="pct"/>
            <w:vAlign w:val="center"/>
          </w:tcPr>
          <w:p w14:paraId="32158554">
            <w:pPr>
              <w:snapToGrid w:val="0"/>
              <w:spacing w:line="36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三级故障</w:t>
            </w:r>
          </w:p>
        </w:tc>
        <w:tc>
          <w:tcPr>
            <w:tcW w:w="2033" w:type="pct"/>
            <w:vAlign w:val="center"/>
          </w:tcPr>
          <w:p w14:paraId="590F7807">
            <w:pPr>
              <w:snapToGrid w:val="0"/>
              <w:spacing w:line="360" w:lineRule="auto"/>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信息系统部分功能受损，影响较少患者正常就诊，医院主要业务正常工作。</w:t>
            </w:r>
          </w:p>
        </w:tc>
        <w:tc>
          <w:tcPr>
            <w:tcW w:w="1622" w:type="pct"/>
            <w:vAlign w:val="center"/>
          </w:tcPr>
          <w:p w14:paraId="3567DFED">
            <w:pPr>
              <w:snapToGrid w:val="0"/>
              <w:spacing w:line="360" w:lineRule="auto"/>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服务商应在30分钟内响应，4小时内到达现场或远程维护，24小时内解决问题。</w:t>
            </w:r>
          </w:p>
        </w:tc>
      </w:tr>
      <w:tr w14:paraId="2060B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9" w:type="pct"/>
            <w:vAlign w:val="center"/>
          </w:tcPr>
          <w:p w14:paraId="440FC1AA">
            <w:pPr>
              <w:snapToGrid w:val="0"/>
              <w:spacing w:line="36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4</w:t>
            </w:r>
          </w:p>
        </w:tc>
        <w:tc>
          <w:tcPr>
            <w:tcW w:w="815" w:type="pct"/>
            <w:vAlign w:val="center"/>
          </w:tcPr>
          <w:p w14:paraId="6B428389">
            <w:pPr>
              <w:snapToGrid w:val="0"/>
              <w:spacing w:line="360" w:lineRule="auto"/>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四级故障</w:t>
            </w:r>
          </w:p>
        </w:tc>
        <w:tc>
          <w:tcPr>
            <w:tcW w:w="2033" w:type="pct"/>
            <w:vAlign w:val="center"/>
          </w:tcPr>
          <w:p w14:paraId="70779A6D">
            <w:pPr>
              <w:snapToGrid w:val="0"/>
              <w:spacing w:line="360" w:lineRule="auto"/>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信息系统出现一般性问题，对患者与系统运行几乎或无影响。</w:t>
            </w:r>
          </w:p>
        </w:tc>
        <w:tc>
          <w:tcPr>
            <w:tcW w:w="1622" w:type="pct"/>
            <w:vAlign w:val="center"/>
          </w:tcPr>
          <w:p w14:paraId="29A2AC1C">
            <w:pPr>
              <w:snapToGrid w:val="0"/>
              <w:spacing w:line="360" w:lineRule="auto"/>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服务商应在30分钟内响应，8小时内到达现场或远程维护，48小时内解决问题。</w:t>
            </w:r>
          </w:p>
        </w:tc>
      </w:tr>
    </w:tbl>
    <w:p w14:paraId="4B797216">
      <w:pPr>
        <w:tabs>
          <w:tab w:val="left" w:pos="2970"/>
        </w:tabs>
        <w:rPr>
          <w:rFonts w:hint="eastAsia" w:ascii="仿宋" w:hAnsi="仿宋" w:eastAsia="仿宋" w:cs="仿宋"/>
          <w:color w:val="auto"/>
          <w:sz w:val="21"/>
          <w:szCs w:val="21"/>
          <w:highlight w:val="none"/>
        </w:rPr>
      </w:pPr>
    </w:p>
    <w:p w14:paraId="0719DF84">
      <w:pPr>
        <w:wordWrap w:val="0"/>
        <w:topLinePunct/>
        <w:spacing w:line="360" w:lineRule="auto"/>
        <w:ind w:firstLine="422" w:firstLineChars="200"/>
        <w:rPr>
          <w:rFonts w:hint="eastAsia" w:ascii="仿宋" w:hAnsi="仿宋" w:eastAsia="仿宋" w:cs="仿宋"/>
          <w:b/>
          <w:bCs/>
          <w:color w:val="auto"/>
          <w:sz w:val="21"/>
          <w:szCs w:val="21"/>
          <w:highlight w:val="none"/>
        </w:rPr>
        <w:sectPr>
          <w:pgSz w:w="11906" w:h="16838"/>
          <w:pgMar w:top="1440" w:right="1800" w:bottom="1440" w:left="1800" w:header="851" w:footer="992" w:gutter="0"/>
          <w:cols w:space="425" w:num="1"/>
          <w:docGrid w:type="lines" w:linePitch="312" w:charSpace="0"/>
        </w:sectPr>
      </w:pPr>
    </w:p>
    <w:p w14:paraId="79E76CDD">
      <w:pPr>
        <w:wordWrap w:val="0"/>
        <w:topLinePunct/>
        <w:spacing w:line="360" w:lineRule="auto"/>
        <w:ind w:firstLine="0" w:firstLineChars="0"/>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附件3：信息系统售后运维服务质量评价标准</w:t>
      </w:r>
    </w:p>
    <w:tbl>
      <w:tblPr>
        <w:tblStyle w:val="10"/>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7"/>
        <w:gridCol w:w="797"/>
        <w:gridCol w:w="800"/>
        <w:gridCol w:w="3482"/>
        <w:gridCol w:w="771"/>
        <w:gridCol w:w="802"/>
        <w:gridCol w:w="6822"/>
      </w:tblGrid>
      <w:tr w14:paraId="2A39C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246" w:type="pct"/>
            <w:vMerge w:val="restart"/>
            <w:vAlign w:val="center"/>
          </w:tcPr>
          <w:p w14:paraId="3E4859E3">
            <w:pPr>
              <w:jc w:val="center"/>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序号</w:t>
            </w:r>
          </w:p>
        </w:tc>
        <w:tc>
          <w:tcPr>
            <w:tcW w:w="1791" w:type="pct"/>
            <w:gridSpan w:val="3"/>
            <w:vMerge w:val="restart"/>
            <w:vAlign w:val="center"/>
          </w:tcPr>
          <w:p w14:paraId="78AD4030">
            <w:pPr>
              <w:ind w:firstLine="4"/>
              <w:jc w:val="center"/>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评价项目分类</w:t>
            </w:r>
          </w:p>
        </w:tc>
        <w:tc>
          <w:tcPr>
            <w:tcW w:w="555" w:type="pct"/>
            <w:gridSpan w:val="2"/>
            <w:vAlign w:val="center"/>
          </w:tcPr>
          <w:p w14:paraId="298472C4">
            <w:pPr>
              <w:ind w:firstLine="0"/>
              <w:jc w:val="center"/>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评分分值</w:t>
            </w:r>
          </w:p>
        </w:tc>
        <w:tc>
          <w:tcPr>
            <w:tcW w:w="2406" w:type="pct"/>
            <w:vMerge w:val="restart"/>
            <w:vAlign w:val="center"/>
          </w:tcPr>
          <w:p w14:paraId="59339075">
            <w:pPr>
              <w:jc w:val="center"/>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评分标准</w:t>
            </w:r>
          </w:p>
        </w:tc>
      </w:tr>
      <w:tr w14:paraId="2BCD6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 w:type="pct"/>
            <w:vMerge w:val="continue"/>
          </w:tcPr>
          <w:p w14:paraId="06BD1AA1">
            <w:pPr>
              <w:ind w:firstLine="420"/>
              <w:rPr>
                <w:rFonts w:hint="eastAsia" w:ascii="仿宋" w:hAnsi="仿宋" w:eastAsia="仿宋" w:cs="仿宋"/>
                <w:color w:val="auto"/>
                <w:szCs w:val="21"/>
                <w:highlight w:val="none"/>
              </w:rPr>
            </w:pPr>
          </w:p>
        </w:tc>
        <w:tc>
          <w:tcPr>
            <w:tcW w:w="1791" w:type="pct"/>
            <w:gridSpan w:val="3"/>
            <w:vMerge w:val="continue"/>
          </w:tcPr>
          <w:p w14:paraId="1FB35088">
            <w:pPr>
              <w:ind w:firstLine="420"/>
              <w:rPr>
                <w:rFonts w:hint="eastAsia" w:ascii="仿宋" w:hAnsi="仿宋" w:eastAsia="仿宋" w:cs="仿宋"/>
                <w:color w:val="auto"/>
                <w:szCs w:val="21"/>
                <w:highlight w:val="none"/>
              </w:rPr>
            </w:pPr>
          </w:p>
        </w:tc>
        <w:tc>
          <w:tcPr>
            <w:tcW w:w="272" w:type="pct"/>
            <w:vAlign w:val="center"/>
          </w:tcPr>
          <w:p w14:paraId="3D25342B">
            <w:pPr>
              <w:ind w:firstLine="0"/>
              <w:jc w:val="center"/>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分项分值</w:t>
            </w:r>
          </w:p>
        </w:tc>
        <w:tc>
          <w:tcPr>
            <w:tcW w:w="282" w:type="pct"/>
            <w:vAlign w:val="center"/>
          </w:tcPr>
          <w:p w14:paraId="574F2964">
            <w:pPr>
              <w:ind w:firstLine="0"/>
              <w:jc w:val="center"/>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明细分值</w:t>
            </w:r>
          </w:p>
        </w:tc>
        <w:tc>
          <w:tcPr>
            <w:tcW w:w="2406" w:type="pct"/>
            <w:vMerge w:val="continue"/>
          </w:tcPr>
          <w:p w14:paraId="12F3BE04">
            <w:pPr>
              <w:ind w:firstLine="420"/>
              <w:rPr>
                <w:rFonts w:hint="eastAsia" w:ascii="仿宋" w:hAnsi="仿宋" w:eastAsia="仿宋" w:cs="仿宋"/>
                <w:color w:val="auto"/>
                <w:szCs w:val="21"/>
                <w:highlight w:val="none"/>
              </w:rPr>
            </w:pPr>
          </w:p>
        </w:tc>
      </w:tr>
      <w:tr w14:paraId="69DDE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 w:type="pct"/>
            <w:vMerge w:val="restart"/>
            <w:vAlign w:val="center"/>
          </w:tcPr>
          <w:p w14:paraId="02E9F87C">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1</w:t>
            </w:r>
          </w:p>
        </w:tc>
        <w:tc>
          <w:tcPr>
            <w:tcW w:w="281" w:type="pct"/>
            <w:vMerge w:val="restart"/>
            <w:vAlign w:val="center"/>
          </w:tcPr>
          <w:p w14:paraId="64EE6325">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日常售后运维服务</w:t>
            </w:r>
          </w:p>
        </w:tc>
        <w:tc>
          <w:tcPr>
            <w:tcW w:w="281" w:type="pct"/>
            <w:vMerge w:val="restart"/>
            <w:vAlign w:val="center"/>
          </w:tcPr>
          <w:p w14:paraId="285E61D4">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信息系统故障问题解决的及时性</w:t>
            </w:r>
          </w:p>
        </w:tc>
        <w:tc>
          <w:tcPr>
            <w:tcW w:w="1228" w:type="pct"/>
            <w:vMerge w:val="restart"/>
            <w:vAlign w:val="center"/>
          </w:tcPr>
          <w:p w14:paraId="47DBD543">
            <w:pPr>
              <w:ind w:firstLine="0"/>
              <w:rPr>
                <w:rFonts w:hint="eastAsia" w:ascii="仿宋" w:hAnsi="仿宋" w:eastAsia="仿宋" w:cs="仿宋"/>
                <w:color w:val="auto"/>
                <w:szCs w:val="21"/>
                <w:highlight w:val="none"/>
              </w:rPr>
            </w:pPr>
            <w:r>
              <w:rPr>
                <w:rFonts w:hint="eastAsia" w:ascii="仿宋" w:hAnsi="仿宋" w:eastAsia="仿宋" w:cs="仿宋"/>
                <w:color w:val="auto"/>
                <w:szCs w:val="21"/>
                <w:highlight w:val="none"/>
              </w:rPr>
              <w:t>依据服务商在服务期内处理相应故障等级的响应时间与招标文件、投标文件与合同中相关内容完成情况进行评价。</w:t>
            </w:r>
          </w:p>
        </w:tc>
        <w:tc>
          <w:tcPr>
            <w:tcW w:w="272" w:type="pct"/>
            <w:vMerge w:val="restart"/>
            <w:vAlign w:val="center"/>
          </w:tcPr>
          <w:p w14:paraId="57913D9C">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5</w:t>
            </w:r>
          </w:p>
        </w:tc>
        <w:tc>
          <w:tcPr>
            <w:tcW w:w="282" w:type="pct"/>
            <w:vAlign w:val="center"/>
          </w:tcPr>
          <w:p w14:paraId="79F57471">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2</w:t>
            </w:r>
          </w:p>
        </w:tc>
        <w:tc>
          <w:tcPr>
            <w:tcW w:w="2406" w:type="pct"/>
            <w:vAlign w:val="center"/>
          </w:tcPr>
          <w:p w14:paraId="58810D08">
            <w:pPr>
              <w:ind w:firstLine="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1、服务期内出现一级故障响应时间超时大于10分钟以上扣【2】分/次；</w:t>
            </w:r>
          </w:p>
        </w:tc>
      </w:tr>
      <w:tr w14:paraId="5C342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 w:type="pct"/>
            <w:vMerge w:val="continue"/>
          </w:tcPr>
          <w:p w14:paraId="000E52FD">
            <w:pPr>
              <w:ind w:firstLine="0"/>
              <w:jc w:val="center"/>
              <w:rPr>
                <w:rFonts w:hint="eastAsia" w:ascii="仿宋" w:hAnsi="仿宋" w:eastAsia="仿宋" w:cs="仿宋"/>
                <w:color w:val="auto"/>
                <w:szCs w:val="21"/>
                <w:highlight w:val="none"/>
              </w:rPr>
            </w:pPr>
          </w:p>
        </w:tc>
        <w:tc>
          <w:tcPr>
            <w:tcW w:w="281" w:type="pct"/>
            <w:vMerge w:val="continue"/>
          </w:tcPr>
          <w:p w14:paraId="4092630A">
            <w:pPr>
              <w:ind w:firstLine="0"/>
              <w:jc w:val="center"/>
              <w:rPr>
                <w:rFonts w:hint="eastAsia" w:ascii="仿宋" w:hAnsi="仿宋" w:eastAsia="仿宋" w:cs="仿宋"/>
                <w:color w:val="auto"/>
                <w:szCs w:val="21"/>
                <w:highlight w:val="none"/>
              </w:rPr>
            </w:pPr>
          </w:p>
        </w:tc>
        <w:tc>
          <w:tcPr>
            <w:tcW w:w="281" w:type="pct"/>
            <w:vMerge w:val="continue"/>
          </w:tcPr>
          <w:p w14:paraId="4AEE5A23">
            <w:pPr>
              <w:ind w:firstLine="0"/>
              <w:jc w:val="center"/>
              <w:rPr>
                <w:rFonts w:hint="eastAsia" w:ascii="仿宋" w:hAnsi="仿宋" w:eastAsia="仿宋" w:cs="仿宋"/>
                <w:color w:val="auto"/>
                <w:szCs w:val="21"/>
                <w:highlight w:val="none"/>
              </w:rPr>
            </w:pPr>
          </w:p>
        </w:tc>
        <w:tc>
          <w:tcPr>
            <w:tcW w:w="1228" w:type="pct"/>
            <w:vMerge w:val="continue"/>
            <w:vAlign w:val="center"/>
          </w:tcPr>
          <w:p w14:paraId="3504E095">
            <w:pPr>
              <w:ind w:firstLine="0"/>
              <w:rPr>
                <w:rFonts w:hint="eastAsia" w:ascii="仿宋" w:hAnsi="仿宋" w:eastAsia="仿宋" w:cs="仿宋"/>
                <w:color w:val="auto"/>
                <w:szCs w:val="21"/>
                <w:highlight w:val="none"/>
              </w:rPr>
            </w:pPr>
          </w:p>
        </w:tc>
        <w:tc>
          <w:tcPr>
            <w:tcW w:w="272" w:type="pct"/>
            <w:vMerge w:val="continue"/>
          </w:tcPr>
          <w:p w14:paraId="1728953D">
            <w:pPr>
              <w:ind w:firstLine="0"/>
              <w:jc w:val="center"/>
              <w:rPr>
                <w:rFonts w:hint="eastAsia" w:ascii="仿宋" w:hAnsi="仿宋" w:eastAsia="仿宋" w:cs="仿宋"/>
                <w:color w:val="auto"/>
                <w:szCs w:val="21"/>
                <w:highlight w:val="none"/>
              </w:rPr>
            </w:pPr>
          </w:p>
        </w:tc>
        <w:tc>
          <w:tcPr>
            <w:tcW w:w="282" w:type="pct"/>
            <w:vAlign w:val="center"/>
          </w:tcPr>
          <w:p w14:paraId="0AF20839">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1.5</w:t>
            </w:r>
          </w:p>
        </w:tc>
        <w:tc>
          <w:tcPr>
            <w:tcW w:w="2406" w:type="pct"/>
            <w:vAlign w:val="center"/>
          </w:tcPr>
          <w:p w14:paraId="02323BFE">
            <w:pPr>
              <w:ind w:firstLine="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2、服务期内出现二级故障响应时间超时大于30分钟以上扣【1】分/次；</w:t>
            </w:r>
          </w:p>
        </w:tc>
      </w:tr>
      <w:tr w14:paraId="28E89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 w:type="pct"/>
            <w:vMerge w:val="continue"/>
          </w:tcPr>
          <w:p w14:paraId="578098F6">
            <w:pPr>
              <w:ind w:firstLine="0"/>
              <w:jc w:val="center"/>
              <w:rPr>
                <w:rFonts w:hint="eastAsia" w:ascii="仿宋" w:hAnsi="仿宋" w:eastAsia="仿宋" w:cs="仿宋"/>
                <w:color w:val="auto"/>
                <w:szCs w:val="21"/>
                <w:highlight w:val="none"/>
              </w:rPr>
            </w:pPr>
          </w:p>
        </w:tc>
        <w:tc>
          <w:tcPr>
            <w:tcW w:w="281" w:type="pct"/>
            <w:vMerge w:val="continue"/>
          </w:tcPr>
          <w:p w14:paraId="7B78F486">
            <w:pPr>
              <w:ind w:firstLine="0"/>
              <w:jc w:val="center"/>
              <w:rPr>
                <w:rFonts w:hint="eastAsia" w:ascii="仿宋" w:hAnsi="仿宋" w:eastAsia="仿宋" w:cs="仿宋"/>
                <w:color w:val="auto"/>
                <w:szCs w:val="21"/>
                <w:highlight w:val="none"/>
              </w:rPr>
            </w:pPr>
          </w:p>
        </w:tc>
        <w:tc>
          <w:tcPr>
            <w:tcW w:w="281" w:type="pct"/>
            <w:vMerge w:val="continue"/>
          </w:tcPr>
          <w:p w14:paraId="6A49ACBE">
            <w:pPr>
              <w:ind w:firstLine="0"/>
              <w:jc w:val="center"/>
              <w:rPr>
                <w:rFonts w:hint="eastAsia" w:ascii="仿宋" w:hAnsi="仿宋" w:eastAsia="仿宋" w:cs="仿宋"/>
                <w:color w:val="auto"/>
                <w:szCs w:val="21"/>
                <w:highlight w:val="none"/>
              </w:rPr>
            </w:pPr>
          </w:p>
        </w:tc>
        <w:tc>
          <w:tcPr>
            <w:tcW w:w="1228" w:type="pct"/>
            <w:vMerge w:val="continue"/>
            <w:vAlign w:val="center"/>
          </w:tcPr>
          <w:p w14:paraId="2774DCCD">
            <w:pPr>
              <w:ind w:firstLine="0"/>
              <w:rPr>
                <w:rFonts w:hint="eastAsia" w:ascii="仿宋" w:hAnsi="仿宋" w:eastAsia="仿宋" w:cs="仿宋"/>
                <w:color w:val="auto"/>
                <w:szCs w:val="21"/>
                <w:highlight w:val="none"/>
              </w:rPr>
            </w:pPr>
          </w:p>
        </w:tc>
        <w:tc>
          <w:tcPr>
            <w:tcW w:w="272" w:type="pct"/>
            <w:vMerge w:val="continue"/>
          </w:tcPr>
          <w:p w14:paraId="49476DE7">
            <w:pPr>
              <w:ind w:firstLine="0"/>
              <w:jc w:val="center"/>
              <w:rPr>
                <w:rFonts w:hint="eastAsia" w:ascii="仿宋" w:hAnsi="仿宋" w:eastAsia="仿宋" w:cs="仿宋"/>
                <w:color w:val="auto"/>
                <w:szCs w:val="21"/>
                <w:highlight w:val="none"/>
              </w:rPr>
            </w:pPr>
          </w:p>
        </w:tc>
        <w:tc>
          <w:tcPr>
            <w:tcW w:w="282" w:type="pct"/>
            <w:vAlign w:val="center"/>
          </w:tcPr>
          <w:p w14:paraId="5450110E">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1</w:t>
            </w:r>
          </w:p>
        </w:tc>
        <w:tc>
          <w:tcPr>
            <w:tcW w:w="2406" w:type="pct"/>
            <w:vAlign w:val="center"/>
          </w:tcPr>
          <w:p w14:paraId="1EAB33A2">
            <w:pPr>
              <w:ind w:firstLine="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3、服务期内出现三级故障响应时间超时大于30分钟以上扣【0.5】分/次；</w:t>
            </w:r>
          </w:p>
        </w:tc>
      </w:tr>
      <w:tr w14:paraId="01B31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 w:type="pct"/>
            <w:vMerge w:val="continue"/>
          </w:tcPr>
          <w:p w14:paraId="7DEC6032">
            <w:pPr>
              <w:ind w:firstLine="0"/>
              <w:jc w:val="center"/>
              <w:rPr>
                <w:rFonts w:hint="eastAsia" w:ascii="仿宋" w:hAnsi="仿宋" w:eastAsia="仿宋" w:cs="仿宋"/>
                <w:color w:val="auto"/>
                <w:szCs w:val="21"/>
                <w:highlight w:val="none"/>
              </w:rPr>
            </w:pPr>
          </w:p>
        </w:tc>
        <w:tc>
          <w:tcPr>
            <w:tcW w:w="281" w:type="pct"/>
            <w:vMerge w:val="continue"/>
          </w:tcPr>
          <w:p w14:paraId="7033688E">
            <w:pPr>
              <w:ind w:firstLine="0"/>
              <w:jc w:val="center"/>
              <w:rPr>
                <w:rFonts w:hint="eastAsia" w:ascii="仿宋" w:hAnsi="仿宋" w:eastAsia="仿宋" w:cs="仿宋"/>
                <w:color w:val="auto"/>
                <w:szCs w:val="21"/>
                <w:highlight w:val="none"/>
              </w:rPr>
            </w:pPr>
          </w:p>
        </w:tc>
        <w:tc>
          <w:tcPr>
            <w:tcW w:w="281" w:type="pct"/>
            <w:vMerge w:val="continue"/>
          </w:tcPr>
          <w:p w14:paraId="7F3EFC4E">
            <w:pPr>
              <w:ind w:firstLine="0"/>
              <w:jc w:val="center"/>
              <w:rPr>
                <w:rFonts w:hint="eastAsia" w:ascii="仿宋" w:hAnsi="仿宋" w:eastAsia="仿宋" w:cs="仿宋"/>
                <w:color w:val="auto"/>
                <w:szCs w:val="21"/>
                <w:highlight w:val="none"/>
              </w:rPr>
            </w:pPr>
          </w:p>
        </w:tc>
        <w:tc>
          <w:tcPr>
            <w:tcW w:w="1228" w:type="pct"/>
            <w:vMerge w:val="continue"/>
            <w:vAlign w:val="center"/>
          </w:tcPr>
          <w:p w14:paraId="2E622BC1">
            <w:pPr>
              <w:ind w:firstLine="0"/>
              <w:rPr>
                <w:rFonts w:hint="eastAsia" w:ascii="仿宋" w:hAnsi="仿宋" w:eastAsia="仿宋" w:cs="仿宋"/>
                <w:color w:val="auto"/>
                <w:szCs w:val="21"/>
                <w:highlight w:val="none"/>
              </w:rPr>
            </w:pPr>
          </w:p>
        </w:tc>
        <w:tc>
          <w:tcPr>
            <w:tcW w:w="272" w:type="pct"/>
            <w:vMerge w:val="continue"/>
          </w:tcPr>
          <w:p w14:paraId="073568DA">
            <w:pPr>
              <w:ind w:firstLine="0"/>
              <w:jc w:val="center"/>
              <w:rPr>
                <w:rFonts w:hint="eastAsia" w:ascii="仿宋" w:hAnsi="仿宋" w:eastAsia="仿宋" w:cs="仿宋"/>
                <w:color w:val="auto"/>
                <w:szCs w:val="21"/>
                <w:highlight w:val="none"/>
              </w:rPr>
            </w:pPr>
          </w:p>
        </w:tc>
        <w:tc>
          <w:tcPr>
            <w:tcW w:w="282" w:type="pct"/>
            <w:vAlign w:val="center"/>
          </w:tcPr>
          <w:p w14:paraId="27042F97">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0.5</w:t>
            </w:r>
          </w:p>
        </w:tc>
        <w:tc>
          <w:tcPr>
            <w:tcW w:w="2406" w:type="pct"/>
            <w:vAlign w:val="center"/>
          </w:tcPr>
          <w:p w14:paraId="66A276C4">
            <w:pPr>
              <w:ind w:firstLine="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4、服务期内出现四级故障响应时间超时大于30分钟以上扣【0.1】分/次；</w:t>
            </w:r>
          </w:p>
        </w:tc>
      </w:tr>
      <w:tr w14:paraId="43AD0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 w:type="pct"/>
            <w:vMerge w:val="continue"/>
          </w:tcPr>
          <w:p w14:paraId="4FB5A517">
            <w:pPr>
              <w:ind w:firstLine="0"/>
              <w:jc w:val="center"/>
              <w:rPr>
                <w:rFonts w:hint="eastAsia" w:ascii="仿宋" w:hAnsi="仿宋" w:eastAsia="仿宋" w:cs="仿宋"/>
                <w:color w:val="auto"/>
                <w:szCs w:val="21"/>
                <w:highlight w:val="none"/>
              </w:rPr>
            </w:pPr>
          </w:p>
        </w:tc>
        <w:tc>
          <w:tcPr>
            <w:tcW w:w="281" w:type="pct"/>
            <w:vMerge w:val="continue"/>
          </w:tcPr>
          <w:p w14:paraId="068B3209">
            <w:pPr>
              <w:ind w:firstLine="0"/>
              <w:jc w:val="center"/>
              <w:rPr>
                <w:rFonts w:hint="eastAsia" w:ascii="仿宋" w:hAnsi="仿宋" w:eastAsia="仿宋" w:cs="仿宋"/>
                <w:color w:val="auto"/>
                <w:szCs w:val="21"/>
                <w:highlight w:val="none"/>
              </w:rPr>
            </w:pPr>
          </w:p>
        </w:tc>
        <w:tc>
          <w:tcPr>
            <w:tcW w:w="281" w:type="pct"/>
            <w:vMerge w:val="continue"/>
          </w:tcPr>
          <w:p w14:paraId="250B431C">
            <w:pPr>
              <w:ind w:firstLine="0"/>
              <w:jc w:val="center"/>
              <w:rPr>
                <w:rFonts w:hint="eastAsia" w:ascii="仿宋" w:hAnsi="仿宋" w:eastAsia="仿宋" w:cs="仿宋"/>
                <w:color w:val="auto"/>
                <w:szCs w:val="21"/>
                <w:highlight w:val="none"/>
              </w:rPr>
            </w:pPr>
          </w:p>
        </w:tc>
        <w:tc>
          <w:tcPr>
            <w:tcW w:w="1228" w:type="pct"/>
            <w:vMerge w:val="restart"/>
            <w:vAlign w:val="center"/>
          </w:tcPr>
          <w:p w14:paraId="3C1A59B8">
            <w:pPr>
              <w:ind w:firstLine="0"/>
              <w:rPr>
                <w:rFonts w:hint="eastAsia" w:ascii="仿宋" w:hAnsi="仿宋" w:eastAsia="仿宋" w:cs="仿宋"/>
                <w:color w:val="auto"/>
                <w:szCs w:val="21"/>
                <w:highlight w:val="none"/>
              </w:rPr>
            </w:pPr>
            <w:r>
              <w:rPr>
                <w:rFonts w:hint="eastAsia" w:ascii="仿宋" w:hAnsi="仿宋" w:eastAsia="仿宋" w:cs="仿宋"/>
                <w:color w:val="auto"/>
                <w:szCs w:val="21"/>
                <w:highlight w:val="none"/>
              </w:rPr>
              <w:t>依据服务商在服务期内处理相应故障等级的解决时间与招标文件、投标文件与合同中相关内容完成情况进行评价。</w:t>
            </w:r>
          </w:p>
        </w:tc>
        <w:tc>
          <w:tcPr>
            <w:tcW w:w="272" w:type="pct"/>
            <w:vMerge w:val="restart"/>
            <w:vAlign w:val="center"/>
          </w:tcPr>
          <w:p w14:paraId="59F0CBCC">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15</w:t>
            </w:r>
          </w:p>
        </w:tc>
        <w:tc>
          <w:tcPr>
            <w:tcW w:w="282" w:type="pct"/>
            <w:vAlign w:val="center"/>
          </w:tcPr>
          <w:p w14:paraId="05C736CA">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6</w:t>
            </w:r>
          </w:p>
        </w:tc>
        <w:tc>
          <w:tcPr>
            <w:tcW w:w="2406" w:type="pct"/>
            <w:vAlign w:val="center"/>
          </w:tcPr>
          <w:p w14:paraId="468DA984">
            <w:pPr>
              <w:ind w:firstLine="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1、服务期内出现一级故障解决时间超时或未按要求时限解决问题大于6小时以上扣【6】分/次；</w:t>
            </w:r>
          </w:p>
        </w:tc>
      </w:tr>
      <w:tr w14:paraId="0C9E6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 w:type="pct"/>
            <w:vMerge w:val="continue"/>
          </w:tcPr>
          <w:p w14:paraId="60016A62">
            <w:pPr>
              <w:ind w:firstLine="0"/>
              <w:jc w:val="center"/>
              <w:rPr>
                <w:rFonts w:hint="eastAsia" w:ascii="仿宋" w:hAnsi="仿宋" w:eastAsia="仿宋" w:cs="仿宋"/>
                <w:color w:val="auto"/>
                <w:szCs w:val="21"/>
                <w:highlight w:val="none"/>
              </w:rPr>
            </w:pPr>
          </w:p>
        </w:tc>
        <w:tc>
          <w:tcPr>
            <w:tcW w:w="281" w:type="pct"/>
            <w:vMerge w:val="continue"/>
          </w:tcPr>
          <w:p w14:paraId="315B1063">
            <w:pPr>
              <w:ind w:firstLine="0"/>
              <w:jc w:val="center"/>
              <w:rPr>
                <w:rFonts w:hint="eastAsia" w:ascii="仿宋" w:hAnsi="仿宋" w:eastAsia="仿宋" w:cs="仿宋"/>
                <w:color w:val="auto"/>
                <w:szCs w:val="21"/>
                <w:highlight w:val="none"/>
              </w:rPr>
            </w:pPr>
          </w:p>
        </w:tc>
        <w:tc>
          <w:tcPr>
            <w:tcW w:w="281" w:type="pct"/>
            <w:vMerge w:val="continue"/>
          </w:tcPr>
          <w:p w14:paraId="0D907731">
            <w:pPr>
              <w:ind w:firstLine="0"/>
              <w:jc w:val="center"/>
              <w:rPr>
                <w:rFonts w:hint="eastAsia" w:ascii="仿宋" w:hAnsi="仿宋" w:eastAsia="仿宋" w:cs="仿宋"/>
                <w:color w:val="auto"/>
                <w:szCs w:val="21"/>
                <w:highlight w:val="none"/>
              </w:rPr>
            </w:pPr>
          </w:p>
        </w:tc>
        <w:tc>
          <w:tcPr>
            <w:tcW w:w="1228" w:type="pct"/>
            <w:vMerge w:val="continue"/>
            <w:vAlign w:val="center"/>
          </w:tcPr>
          <w:p w14:paraId="7A394261">
            <w:pPr>
              <w:ind w:firstLine="0"/>
              <w:rPr>
                <w:rFonts w:hint="eastAsia" w:ascii="仿宋" w:hAnsi="仿宋" w:eastAsia="仿宋" w:cs="仿宋"/>
                <w:color w:val="auto"/>
                <w:szCs w:val="21"/>
                <w:highlight w:val="none"/>
              </w:rPr>
            </w:pPr>
          </w:p>
        </w:tc>
        <w:tc>
          <w:tcPr>
            <w:tcW w:w="272" w:type="pct"/>
            <w:vMerge w:val="continue"/>
          </w:tcPr>
          <w:p w14:paraId="01B46A32">
            <w:pPr>
              <w:ind w:firstLine="0"/>
              <w:jc w:val="center"/>
              <w:rPr>
                <w:rFonts w:hint="eastAsia" w:ascii="仿宋" w:hAnsi="仿宋" w:eastAsia="仿宋" w:cs="仿宋"/>
                <w:color w:val="auto"/>
                <w:szCs w:val="21"/>
                <w:highlight w:val="none"/>
              </w:rPr>
            </w:pPr>
          </w:p>
        </w:tc>
        <w:tc>
          <w:tcPr>
            <w:tcW w:w="282" w:type="pct"/>
            <w:vAlign w:val="center"/>
          </w:tcPr>
          <w:p w14:paraId="015AA376">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4</w:t>
            </w:r>
          </w:p>
        </w:tc>
        <w:tc>
          <w:tcPr>
            <w:tcW w:w="2406" w:type="pct"/>
            <w:vAlign w:val="center"/>
          </w:tcPr>
          <w:p w14:paraId="0D3D8831">
            <w:pPr>
              <w:ind w:firstLine="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2、服务期内出现二级故障解决时间超时或未按要求时限解决问题大于12小时以上扣【2】分/次；</w:t>
            </w:r>
          </w:p>
        </w:tc>
      </w:tr>
      <w:tr w14:paraId="082EA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 w:type="pct"/>
            <w:vMerge w:val="continue"/>
          </w:tcPr>
          <w:p w14:paraId="348570D1">
            <w:pPr>
              <w:ind w:firstLine="0"/>
              <w:jc w:val="center"/>
              <w:rPr>
                <w:rFonts w:hint="eastAsia" w:ascii="仿宋" w:hAnsi="仿宋" w:eastAsia="仿宋" w:cs="仿宋"/>
                <w:color w:val="auto"/>
                <w:szCs w:val="21"/>
                <w:highlight w:val="none"/>
              </w:rPr>
            </w:pPr>
          </w:p>
        </w:tc>
        <w:tc>
          <w:tcPr>
            <w:tcW w:w="281" w:type="pct"/>
            <w:vMerge w:val="continue"/>
          </w:tcPr>
          <w:p w14:paraId="7E45C38A">
            <w:pPr>
              <w:ind w:firstLine="0"/>
              <w:jc w:val="center"/>
              <w:rPr>
                <w:rFonts w:hint="eastAsia" w:ascii="仿宋" w:hAnsi="仿宋" w:eastAsia="仿宋" w:cs="仿宋"/>
                <w:color w:val="auto"/>
                <w:szCs w:val="21"/>
                <w:highlight w:val="none"/>
              </w:rPr>
            </w:pPr>
          </w:p>
        </w:tc>
        <w:tc>
          <w:tcPr>
            <w:tcW w:w="281" w:type="pct"/>
            <w:vMerge w:val="continue"/>
          </w:tcPr>
          <w:p w14:paraId="556B91B3">
            <w:pPr>
              <w:ind w:firstLine="0"/>
              <w:jc w:val="center"/>
              <w:rPr>
                <w:rFonts w:hint="eastAsia" w:ascii="仿宋" w:hAnsi="仿宋" w:eastAsia="仿宋" w:cs="仿宋"/>
                <w:color w:val="auto"/>
                <w:szCs w:val="21"/>
                <w:highlight w:val="none"/>
              </w:rPr>
            </w:pPr>
          </w:p>
        </w:tc>
        <w:tc>
          <w:tcPr>
            <w:tcW w:w="1228" w:type="pct"/>
            <w:vMerge w:val="continue"/>
            <w:vAlign w:val="center"/>
          </w:tcPr>
          <w:p w14:paraId="1AC15094">
            <w:pPr>
              <w:ind w:firstLine="0"/>
              <w:rPr>
                <w:rFonts w:hint="eastAsia" w:ascii="仿宋" w:hAnsi="仿宋" w:eastAsia="仿宋" w:cs="仿宋"/>
                <w:color w:val="auto"/>
                <w:szCs w:val="21"/>
                <w:highlight w:val="none"/>
              </w:rPr>
            </w:pPr>
          </w:p>
        </w:tc>
        <w:tc>
          <w:tcPr>
            <w:tcW w:w="272" w:type="pct"/>
            <w:vMerge w:val="continue"/>
          </w:tcPr>
          <w:p w14:paraId="053CFB5C">
            <w:pPr>
              <w:ind w:firstLine="0"/>
              <w:jc w:val="center"/>
              <w:rPr>
                <w:rFonts w:hint="eastAsia" w:ascii="仿宋" w:hAnsi="仿宋" w:eastAsia="仿宋" w:cs="仿宋"/>
                <w:color w:val="auto"/>
                <w:szCs w:val="21"/>
                <w:highlight w:val="none"/>
              </w:rPr>
            </w:pPr>
          </w:p>
        </w:tc>
        <w:tc>
          <w:tcPr>
            <w:tcW w:w="282" w:type="pct"/>
            <w:vAlign w:val="center"/>
          </w:tcPr>
          <w:p w14:paraId="0F83B7BD">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3</w:t>
            </w:r>
          </w:p>
        </w:tc>
        <w:tc>
          <w:tcPr>
            <w:tcW w:w="2406" w:type="pct"/>
            <w:vAlign w:val="center"/>
          </w:tcPr>
          <w:p w14:paraId="4B2C93CB">
            <w:pPr>
              <w:ind w:firstLine="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3、服务期内出现三级故障解决时间超时或未按要求时限解决问题大于24小时以上扣【1】分/次；</w:t>
            </w:r>
          </w:p>
        </w:tc>
      </w:tr>
      <w:tr w14:paraId="54F35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 w:type="pct"/>
            <w:vMerge w:val="continue"/>
          </w:tcPr>
          <w:p w14:paraId="01B6C722">
            <w:pPr>
              <w:ind w:firstLine="0"/>
              <w:jc w:val="center"/>
              <w:rPr>
                <w:rFonts w:hint="eastAsia" w:ascii="仿宋" w:hAnsi="仿宋" w:eastAsia="仿宋" w:cs="仿宋"/>
                <w:color w:val="auto"/>
                <w:szCs w:val="21"/>
                <w:highlight w:val="none"/>
              </w:rPr>
            </w:pPr>
          </w:p>
        </w:tc>
        <w:tc>
          <w:tcPr>
            <w:tcW w:w="281" w:type="pct"/>
            <w:vMerge w:val="continue"/>
          </w:tcPr>
          <w:p w14:paraId="5C021BC5">
            <w:pPr>
              <w:ind w:firstLine="0"/>
              <w:jc w:val="center"/>
              <w:rPr>
                <w:rFonts w:hint="eastAsia" w:ascii="仿宋" w:hAnsi="仿宋" w:eastAsia="仿宋" w:cs="仿宋"/>
                <w:color w:val="auto"/>
                <w:szCs w:val="21"/>
                <w:highlight w:val="none"/>
              </w:rPr>
            </w:pPr>
          </w:p>
        </w:tc>
        <w:tc>
          <w:tcPr>
            <w:tcW w:w="281" w:type="pct"/>
            <w:vMerge w:val="continue"/>
          </w:tcPr>
          <w:p w14:paraId="57F04C27">
            <w:pPr>
              <w:ind w:firstLine="0"/>
              <w:jc w:val="center"/>
              <w:rPr>
                <w:rFonts w:hint="eastAsia" w:ascii="仿宋" w:hAnsi="仿宋" w:eastAsia="仿宋" w:cs="仿宋"/>
                <w:color w:val="auto"/>
                <w:szCs w:val="21"/>
                <w:highlight w:val="none"/>
              </w:rPr>
            </w:pPr>
          </w:p>
        </w:tc>
        <w:tc>
          <w:tcPr>
            <w:tcW w:w="1228" w:type="pct"/>
            <w:vMerge w:val="continue"/>
            <w:vAlign w:val="center"/>
          </w:tcPr>
          <w:p w14:paraId="38A6611D">
            <w:pPr>
              <w:ind w:firstLine="0"/>
              <w:rPr>
                <w:rFonts w:hint="eastAsia" w:ascii="仿宋" w:hAnsi="仿宋" w:eastAsia="仿宋" w:cs="仿宋"/>
                <w:color w:val="auto"/>
                <w:szCs w:val="21"/>
                <w:highlight w:val="none"/>
              </w:rPr>
            </w:pPr>
          </w:p>
        </w:tc>
        <w:tc>
          <w:tcPr>
            <w:tcW w:w="272" w:type="pct"/>
            <w:vMerge w:val="continue"/>
          </w:tcPr>
          <w:p w14:paraId="61E8736B">
            <w:pPr>
              <w:ind w:firstLine="0"/>
              <w:jc w:val="center"/>
              <w:rPr>
                <w:rFonts w:hint="eastAsia" w:ascii="仿宋" w:hAnsi="仿宋" w:eastAsia="仿宋" w:cs="仿宋"/>
                <w:color w:val="auto"/>
                <w:szCs w:val="21"/>
                <w:highlight w:val="none"/>
              </w:rPr>
            </w:pPr>
          </w:p>
        </w:tc>
        <w:tc>
          <w:tcPr>
            <w:tcW w:w="282" w:type="pct"/>
            <w:vAlign w:val="center"/>
          </w:tcPr>
          <w:p w14:paraId="2DA0C091">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2</w:t>
            </w:r>
          </w:p>
        </w:tc>
        <w:tc>
          <w:tcPr>
            <w:tcW w:w="2406" w:type="pct"/>
            <w:vAlign w:val="center"/>
          </w:tcPr>
          <w:p w14:paraId="0B083559">
            <w:pPr>
              <w:ind w:firstLine="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4、服务期内出现四级故障解决时间超时或未按要求时限解决问题大于48小时以上扣【0.2】分/次；</w:t>
            </w:r>
          </w:p>
        </w:tc>
      </w:tr>
      <w:tr w14:paraId="2A502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246" w:type="pct"/>
            <w:vMerge w:val="continue"/>
          </w:tcPr>
          <w:p w14:paraId="15D44A00">
            <w:pPr>
              <w:ind w:firstLine="0"/>
              <w:jc w:val="center"/>
              <w:rPr>
                <w:rFonts w:hint="eastAsia" w:ascii="仿宋" w:hAnsi="仿宋" w:eastAsia="仿宋" w:cs="仿宋"/>
                <w:color w:val="auto"/>
                <w:szCs w:val="21"/>
                <w:highlight w:val="none"/>
              </w:rPr>
            </w:pPr>
          </w:p>
        </w:tc>
        <w:tc>
          <w:tcPr>
            <w:tcW w:w="281" w:type="pct"/>
            <w:vMerge w:val="continue"/>
          </w:tcPr>
          <w:p w14:paraId="0C27ADD5">
            <w:pPr>
              <w:ind w:firstLine="0"/>
              <w:jc w:val="center"/>
              <w:rPr>
                <w:rFonts w:hint="eastAsia" w:ascii="仿宋" w:hAnsi="仿宋" w:eastAsia="仿宋" w:cs="仿宋"/>
                <w:color w:val="auto"/>
                <w:szCs w:val="21"/>
                <w:highlight w:val="none"/>
              </w:rPr>
            </w:pPr>
          </w:p>
        </w:tc>
        <w:tc>
          <w:tcPr>
            <w:tcW w:w="281" w:type="pct"/>
            <w:vMerge w:val="restart"/>
            <w:vAlign w:val="center"/>
          </w:tcPr>
          <w:p w14:paraId="694470F6">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信息系统运维服务质量评价</w:t>
            </w:r>
          </w:p>
        </w:tc>
        <w:tc>
          <w:tcPr>
            <w:tcW w:w="1228" w:type="pct"/>
            <w:vMerge w:val="restart"/>
            <w:vAlign w:val="center"/>
          </w:tcPr>
          <w:p w14:paraId="01AE6A22">
            <w:pPr>
              <w:ind w:firstLine="0"/>
              <w:rPr>
                <w:rFonts w:hint="eastAsia" w:ascii="仿宋" w:hAnsi="仿宋" w:eastAsia="仿宋" w:cs="仿宋"/>
                <w:color w:val="auto"/>
                <w:szCs w:val="21"/>
                <w:highlight w:val="none"/>
              </w:rPr>
            </w:pPr>
            <w:r>
              <w:rPr>
                <w:rFonts w:hint="eastAsia" w:ascii="仿宋" w:hAnsi="仿宋" w:eastAsia="仿宋" w:cs="仿宋"/>
                <w:color w:val="auto"/>
                <w:szCs w:val="21"/>
                <w:highlight w:val="none"/>
              </w:rPr>
              <w:t>依据招标文件、投标文件与合同中信息系统运维服务约定内容，对服务商在服务期内完成情况进行评价。</w:t>
            </w:r>
          </w:p>
        </w:tc>
        <w:tc>
          <w:tcPr>
            <w:tcW w:w="272" w:type="pct"/>
            <w:vMerge w:val="restart"/>
            <w:vAlign w:val="center"/>
          </w:tcPr>
          <w:p w14:paraId="1B2A48E2">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15</w:t>
            </w:r>
          </w:p>
        </w:tc>
        <w:tc>
          <w:tcPr>
            <w:tcW w:w="282" w:type="pct"/>
            <w:vAlign w:val="center"/>
          </w:tcPr>
          <w:p w14:paraId="403AD83A">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3</w:t>
            </w:r>
          </w:p>
        </w:tc>
        <w:tc>
          <w:tcPr>
            <w:tcW w:w="2406" w:type="pct"/>
            <w:vAlign w:val="center"/>
          </w:tcPr>
          <w:p w14:paraId="2C85F68C">
            <w:pPr>
              <w:ind w:firstLine="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1、服务期内服务商是否按相关文件约定项目提供售后运维服务，依据日常工作记录评价。</w:t>
            </w:r>
          </w:p>
        </w:tc>
      </w:tr>
      <w:tr w14:paraId="10604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trPr>
        <w:tc>
          <w:tcPr>
            <w:tcW w:w="246" w:type="pct"/>
            <w:vMerge w:val="continue"/>
          </w:tcPr>
          <w:p w14:paraId="60A79ADB">
            <w:pPr>
              <w:ind w:firstLine="0"/>
              <w:jc w:val="center"/>
              <w:rPr>
                <w:rFonts w:hint="eastAsia" w:ascii="仿宋" w:hAnsi="仿宋" w:eastAsia="仿宋" w:cs="仿宋"/>
                <w:color w:val="auto"/>
                <w:szCs w:val="21"/>
                <w:highlight w:val="none"/>
              </w:rPr>
            </w:pPr>
          </w:p>
        </w:tc>
        <w:tc>
          <w:tcPr>
            <w:tcW w:w="281" w:type="pct"/>
            <w:vMerge w:val="continue"/>
          </w:tcPr>
          <w:p w14:paraId="18ECA0B2">
            <w:pPr>
              <w:ind w:firstLine="0"/>
              <w:jc w:val="center"/>
              <w:rPr>
                <w:rFonts w:hint="eastAsia" w:ascii="仿宋" w:hAnsi="仿宋" w:eastAsia="仿宋" w:cs="仿宋"/>
                <w:color w:val="auto"/>
                <w:szCs w:val="21"/>
                <w:highlight w:val="none"/>
              </w:rPr>
            </w:pPr>
          </w:p>
        </w:tc>
        <w:tc>
          <w:tcPr>
            <w:tcW w:w="281" w:type="pct"/>
            <w:vMerge w:val="continue"/>
          </w:tcPr>
          <w:p w14:paraId="48DD9E09">
            <w:pPr>
              <w:ind w:firstLine="0"/>
              <w:jc w:val="center"/>
              <w:rPr>
                <w:rFonts w:hint="eastAsia" w:ascii="仿宋" w:hAnsi="仿宋" w:eastAsia="仿宋" w:cs="仿宋"/>
                <w:color w:val="auto"/>
                <w:szCs w:val="21"/>
                <w:highlight w:val="none"/>
              </w:rPr>
            </w:pPr>
          </w:p>
        </w:tc>
        <w:tc>
          <w:tcPr>
            <w:tcW w:w="1228" w:type="pct"/>
            <w:vMerge w:val="continue"/>
            <w:vAlign w:val="center"/>
          </w:tcPr>
          <w:p w14:paraId="7904A325">
            <w:pPr>
              <w:ind w:firstLine="0"/>
              <w:rPr>
                <w:rFonts w:hint="eastAsia" w:ascii="仿宋" w:hAnsi="仿宋" w:eastAsia="仿宋" w:cs="仿宋"/>
                <w:color w:val="auto"/>
                <w:szCs w:val="21"/>
                <w:highlight w:val="none"/>
              </w:rPr>
            </w:pPr>
          </w:p>
        </w:tc>
        <w:tc>
          <w:tcPr>
            <w:tcW w:w="272" w:type="pct"/>
            <w:vMerge w:val="continue"/>
          </w:tcPr>
          <w:p w14:paraId="41F3C784">
            <w:pPr>
              <w:ind w:firstLine="0"/>
              <w:jc w:val="center"/>
              <w:rPr>
                <w:rFonts w:hint="eastAsia" w:ascii="仿宋" w:hAnsi="仿宋" w:eastAsia="仿宋" w:cs="仿宋"/>
                <w:color w:val="auto"/>
                <w:szCs w:val="21"/>
                <w:highlight w:val="none"/>
              </w:rPr>
            </w:pPr>
          </w:p>
        </w:tc>
        <w:tc>
          <w:tcPr>
            <w:tcW w:w="282" w:type="pct"/>
            <w:vAlign w:val="center"/>
          </w:tcPr>
          <w:p w14:paraId="4039DD35">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10</w:t>
            </w:r>
          </w:p>
        </w:tc>
        <w:tc>
          <w:tcPr>
            <w:tcW w:w="2406" w:type="pct"/>
            <w:vAlign w:val="center"/>
          </w:tcPr>
          <w:p w14:paraId="06E81452">
            <w:pPr>
              <w:ind w:firstLine="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2、服务商对采购人日常登记或提出的售后问题解决情况，有无推诿、拖延等现象。</w:t>
            </w:r>
          </w:p>
        </w:tc>
      </w:tr>
      <w:tr w14:paraId="06BA0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 w:type="pct"/>
            <w:vMerge w:val="continue"/>
          </w:tcPr>
          <w:p w14:paraId="599D4963">
            <w:pPr>
              <w:ind w:firstLine="0"/>
              <w:jc w:val="center"/>
              <w:rPr>
                <w:rFonts w:hint="eastAsia" w:ascii="仿宋" w:hAnsi="仿宋" w:eastAsia="仿宋" w:cs="仿宋"/>
                <w:color w:val="auto"/>
                <w:szCs w:val="21"/>
                <w:highlight w:val="none"/>
              </w:rPr>
            </w:pPr>
          </w:p>
        </w:tc>
        <w:tc>
          <w:tcPr>
            <w:tcW w:w="281" w:type="pct"/>
            <w:vMerge w:val="continue"/>
          </w:tcPr>
          <w:p w14:paraId="021550AE">
            <w:pPr>
              <w:ind w:firstLine="0"/>
              <w:jc w:val="center"/>
              <w:rPr>
                <w:rFonts w:hint="eastAsia" w:ascii="仿宋" w:hAnsi="仿宋" w:eastAsia="仿宋" w:cs="仿宋"/>
                <w:color w:val="auto"/>
                <w:szCs w:val="21"/>
                <w:highlight w:val="none"/>
              </w:rPr>
            </w:pPr>
          </w:p>
        </w:tc>
        <w:tc>
          <w:tcPr>
            <w:tcW w:w="281" w:type="pct"/>
            <w:vMerge w:val="continue"/>
          </w:tcPr>
          <w:p w14:paraId="06C4E467">
            <w:pPr>
              <w:ind w:firstLine="0"/>
              <w:jc w:val="center"/>
              <w:rPr>
                <w:rFonts w:hint="eastAsia" w:ascii="仿宋" w:hAnsi="仿宋" w:eastAsia="仿宋" w:cs="仿宋"/>
                <w:color w:val="auto"/>
                <w:szCs w:val="21"/>
                <w:highlight w:val="none"/>
              </w:rPr>
            </w:pPr>
          </w:p>
        </w:tc>
        <w:tc>
          <w:tcPr>
            <w:tcW w:w="1228" w:type="pct"/>
            <w:vMerge w:val="continue"/>
            <w:vAlign w:val="center"/>
          </w:tcPr>
          <w:p w14:paraId="4A7AF7F2">
            <w:pPr>
              <w:ind w:firstLine="0"/>
              <w:rPr>
                <w:rFonts w:hint="eastAsia" w:ascii="仿宋" w:hAnsi="仿宋" w:eastAsia="仿宋" w:cs="仿宋"/>
                <w:color w:val="auto"/>
                <w:szCs w:val="21"/>
                <w:highlight w:val="none"/>
              </w:rPr>
            </w:pPr>
          </w:p>
        </w:tc>
        <w:tc>
          <w:tcPr>
            <w:tcW w:w="272" w:type="pct"/>
            <w:vMerge w:val="continue"/>
          </w:tcPr>
          <w:p w14:paraId="6A86D60B">
            <w:pPr>
              <w:ind w:firstLine="0"/>
              <w:jc w:val="center"/>
              <w:rPr>
                <w:rFonts w:hint="eastAsia" w:ascii="仿宋" w:hAnsi="仿宋" w:eastAsia="仿宋" w:cs="仿宋"/>
                <w:color w:val="auto"/>
                <w:szCs w:val="21"/>
                <w:highlight w:val="none"/>
              </w:rPr>
            </w:pPr>
          </w:p>
        </w:tc>
        <w:tc>
          <w:tcPr>
            <w:tcW w:w="282" w:type="pct"/>
            <w:vAlign w:val="center"/>
          </w:tcPr>
          <w:p w14:paraId="51CE5E6E">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2</w:t>
            </w:r>
          </w:p>
        </w:tc>
        <w:tc>
          <w:tcPr>
            <w:tcW w:w="2406" w:type="pct"/>
            <w:vAlign w:val="center"/>
          </w:tcPr>
          <w:p w14:paraId="75097428">
            <w:pPr>
              <w:ind w:firstLine="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3、售后运维服务工作记录完整情况。有无存在篡改、虚报工作记录等现象。</w:t>
            </w:r>
          </w:p>
        </w:tc>
      </w:tr>
      <w:tr w14:paraId="7C42C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 w:type="pct"/>
            <w:vMerge w:val="continue"/>
          </w:tcPr>
          <w:p w14:paraId="2991E8FC">
            <w:pPr>
              <w:ind w:firstLine="0"/>
              <w:jc w:val="center"/>
              <w:rPr>
                <w:rFonts w:hint="eastAsia" w:ascii="仿宋" w:hAnsi="仿宋" w:eastAsia="仿宋" w:cs="仿宋"/>
                <w:color w:val="auto"/>
                <w:szCs w:val="21"/>
                <w:highlight w:val="none"/>
              </w:rPr>
            </w:pPr>
          </w:p>
        </w:tc>
        <w:tc>
          <w:tcPr>
            <w:tcW w:w="281" w:type="pct"/>
            <w:vMerge w:val="continue"/>
          </w:tcPr>
          <w:p w14:paraId="5DA3D9EC">
            <w:pPr>
              <w:ind w:firstLine="0"/>
              <w:jc w:val="center"/>
              <w:rPr>
                <w:rFonts w:hint="eastAsia" w:ascii="仿宋" w:hAnsi="仿宋" w:eastAsia="仿宋" w:cs="仿宋"/>
                <w:color w:val="auto"/>
                <w:szCs w:val="21"/>
                <w:highlight w:val="none"/>
              </w:rPr>
            </w:pPr>
          </w:p>
        </w:tc>
        <w:tc>
          <w:tcPr>
            <w:tcW w:w="281" w:type="pct"/>
            <w:vMerge w:val="restart"/>
            <w:vAlign w:val="center"/>
          </w:tcPr>
          <w:p w14:paraId="71EC0C6C">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数据库运维服务质量</w:t>
            </w:r>
          </w:p>
        </w:tc>
        <w:tc>
          <w:tcPr>
            <w:tcW w:w="1228" w:type="pct"/>
            <w:vMerge w:val="restart"/>
            <w:vAlign w:val="center"/>
          </w:tcPr>
          <w:p w14:paraId="07A57556">
            <w:pPr>
              <w:ind w:firstLine="0"/>
              <w:rPr>
                <w:rFonts w:hint="eastAsia" w:ascii="仿宋" w:hAnsi="仿宋" w:eastAsia="仿宋" w:cs="仿宋"/>
                <w:color w:val="auto"/>
                <w:szCs w:val="21"/>
                <w:highlight w:val="none"/>
              </w:rPr>
            </w:pPr>
            <w:r>
              <w:rPr>
                <w:rFonts w:hint="eastAsia" w:ascii="仿宋" w:hAnsi="仿宋" w:eastAsia="仿宋" w:cs="仿宋"/>
                <w:color w:val="auto"/>
                <w:szCs w:val="21"/>
                <w:highlight w:val="none"/>
              </w:rPr>
              <w:t>依据招标文件、投标文件与合同中约定的相关服务内容，服务商运维人员工作完成情况进行评价。</w:t>
            </w:r>
          </w:p>
        </w:tc>
        <w:tc>
          <w:tcPr>
            <w:tcW w:w="272" w:type="pct"/>
            <w:vMerge w:val="restart"/>
            <w:vAlign w:val="center"/>
          </w:tcPr>
          <w:p w14:paraId="71931F82">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5</w:t>
            </w:r>
          </w:p>
        </w:tc>
        <w:tc>
          <w:tcPr>
            <w:tcW w:w="282" w:type="pct"/>
            <w:vAlign w:val="center"/>
          </w:tcPr>
          <w:p w14:paraId="342CB211">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2</w:t>
            </w:r>
          </w:p>
        </w:tc>
        <w:tc>
          <w:tcPr>
            <w:tcW w:w="2406" w:type="pct"/>
            <w:vAlign w:val="center"/>
          </w:tcPr>
          <w:p w14:paraId="31B8091F">
            <w:pPr>
              <w:ind w:firstLine="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1、服务期内定期巡检完成情况，巡检次数不少于2次。</w:t>
            </w:r>
          </w:p>
        </w:tc>
      </w:tr>
      <w:tr w14:paraId="6DC3C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 w:type="pct"/>
            <w:vMerge w:val="continue"/>
          </w:tcPr>
          <w:p w14:paraId="28DA0613">
            <w:pPr>
              <w:ind w:firstLine="0"/>
              <w:jc w:val="center"/>
              <w:rPr>
                <w:rFonts w:hint="eastAsia" w:ascii="仿宋" w:hAnsi="仿宋" w:eastAsia="仿宋" w:cs="仿宋"/>
                <w:color w:val="auto"/>
                <w:szCs w:val="21"/>
                <w:highlight w:val="none"/>
              </w:rPr>
            </w:pPr>
          </w:p>
        </w:tc>
        <w:tc>
          <w:tcPr>
            <w:tcW w:w="281" w:type="pct"/>
            <w:vMerge w:val="continue"/>
          </w:tcPr>
          <w:p w14:paraId="4F27D919">
            <w:pPr>
              <w:ind w:firstLine="0"/>
              <w:jc w:val="center"/>
              <w:rPr>
                <w:rFonts w:hint="eastAsia" w:ascii="仿宋" w:hAnsi="仿宋" w:eastAsia="仿宋" w:cs="仿宋"/>
                <w:color w:val="auto"/>
                <w:szCs w:val="21"/>
                <w:highlight w:val="none"/>
              </w:rPr>
            </w:pPr>
          </w:p>
        </w:tc>
        <w:tc>
          <w:tcPr>
            <w:tcW w:w="281" w:type="pct"/>
            <w:vMerge w:val="continue"/>
          </w:tcPr>
          <w:p w14:paraId="46C077E3">
            <w:pPr>
              <w:ind w:firstLine="0"/>
              <w:jc w:val="center"/>
              <w:rPr>
                <w:rFonts w:hint="eastAsia" w:ascii="仿宋" w:hAnsi="仿宋" w:eastAsia="仿宋" w:cs="仿宋"/>
                <w:color w:val="auto"/>
                <w:szCs w:val="21"/>
                <w:highlight w:val="none"/>
              </w:rPr>
            </w:pPr>
          </w:p>
        </w:tc>
        <w:tc>
          <w:tcPr>
            <w:tcW w:w="1228" w:type="pct"/>
            <w:vMerge w:val="continue"/>
            <w:vAlign w:val="center"/>
          </w:tcPr>
          <w:p w14:paraId="60C41734">
            <w:pPr>
              <w:ind w:firstLine="0"/>
              <w:rPr>
                <w:rFonts w:hint="eastAsia" w:ascii="仿宋" w:hAnsi="仿宋" w:eastAsia="仿宋" w:cs="仿宋"/>
                <w:color w:val="auto"/>
                <w:szCs w:val="21"/>
                <w:highlight w:val="none"/>
              </w:rPr>
            </w:pPr>
          </w:p>
        </w:tc>
        <w:tc>
          <w:tcPr>
            <w:tcW w:w="272" w:type="pct"/>
            <w:vMerge w:val="continue"/>
          </w:tcPr>
          <w:p w14:paraId="5DBB1AA1">
            <w:pPr>
              <w:ind w:firstLine="0"/>
              <w:jc w:val="center"/>
              <w:rPr>
                <w:rFonts w:hint="eastAsia" w:ascii="仿宋" w:hAnsi="仿宋" w:eastAsia="仿宋" w:cs="仿宋"/>
                <w:color w:val="auto"/>
                <w:szCs w:val="21"/>
                <w:highlight w:val="none"/>
              </w:rPr>
            </w:pPr>
          </w:p>
        </w:tc>
        <w:tc>
          <w:tcPr>
            <w:tcW w:w="282" w:type="pct"/>
            <w:vAlign w:val="center"/>
          </w:tcPr>
          <w:p w14:paraId="6DF96C2D">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1</w:t>
            </w:r>
          </w:p>
        </w:tc>
        <w:tc>
          <w:tcPr>
            <w:tcW w:w="2406" w:type="pct"/>
            <w:vAlign w:val="center"/>
          </w:tcPr>
          <w:p w14:paraId="14B7E473">
            <w:pPr>
              <w:ind w:firstLine="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2、服务期内依据巡检情况为采购人提供合理化建议，或提供建设与整改方案。</w:t>
            </w:r>
          </w:p>
        </w:tc>
      </w:tr>
      <w:tr w14:paraId="3F674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 w:type="pct"/>
            <w:vMerge w:val="continue"/>
          </w:tcPr>
          <w:p w14:paraId="0B5158D7">
            <w:pPr>
              <w:ind w:firstLine="0"/>
              <w:jc w:val="center"/>
              <w:rPr>
                <w:rFonts w:hint="eastAsia" w:ascii="仿宋" w:hAnsi="仿宋" w:eastAsia="仿宋" w:cs="仿宋"/>
                <w:color w:val="auto"/>
                <w:szCs w:val="21"/>
                <w:highlight w:val="none"/>
              </w:rPr>
            </w:pPr>
          </w:p>
        </w:tc>
        <w:tc>
          <w:tcPr>
            <w:tcW w:w="281" w:type="pct"/>
            <w:vMerge w:val="continue"/>
          </w:tcPr>
          <w:p w14:paraId="4AC9DCB0">
            <w:pPr>
              <w:ind w:firstLine="0"/>
              <w:jc w:val="center"/>
              <w:rPr>
                <w:rFonts w:hint="eastAsia" w:ascii="仿宋" w:hAnsi="仿宋" w:eastAsia="仿宋" w:cs="仿宋"/>
                <w:color w:val="auto"/>
                <w:szCs w:val="21"/>
                <w:highlight w:val="none"/>
              </w:rPr>
            </w:pPr>
          </w:p>
        </w:tc>
        <w:tc>
          <w:tcPr>
            <w:tcW w:w="281" w:type="pct"/>
            <w:vMerge w:val="continue"/>
          </w:tcPr>
          <w:p w14:paraId="3D2428B3">
            <w:pPr>
              <w:ind w:firstLine="0"/>
              <w:jc w:val="center"/>
              <w:rPr>
                <w:rFonts w:hint="eastAsia" w:ascii="仿宋" w:hAnsi="仿宋" w:eastAsia="仿宋" w:cs="仿宋"/>
                <w:color w:val="auto"/>
                <w:szCs w:val="21"/>
                <w:highlight w:val="none"/>
              </w:rPr>
            </w:pPr>
          </w:p>
        </w:tc>
        <w:tc>
          <w:tcPr>
            <w:tcW w:w="1228" w:type="pct"/>
            <w:vMerge w:val="continue"/>
            <w:vAlign w:val="center"/>
          </w:tcPr>
          <w:p w14:paraId="2F3A2FEC">
            <w:pPr>
              <w:ind w:firstLine="0"/>
              <w:rPr>
                <w:rFonts w:hint="eastAsia" w:ascii="仿宋" w:hAnsi="仿宋" w:eastAsia="仿宋" w:cs="仿宋"/>
                <w:color w:val="auto"/>
                <w:szCs w:val="21"/>
                <w:highlight w:val="none"/>
              </w:rPr>
            </w:pPr>
          </w:p>
        </w:tc>
        <w:tc>
          <w:tcPr>
            <w:tcW w:w="272" w:type="pct"/>
            <w:vMerge w:val="continue"/>
          </w:tcPr>
          <w:p w14:paraId="664D42DB">
            <w:pPr>
              <w:ind w:firstLine="0"/>
              <w:jc w:val="center"/>
              <w:rPr>
                <w:rFonts w:hint="eastAsia" w:ascii="仿宋" w:hAnsi="仿宋" w:eastAsia="仿宋" w:cs="仿宋"/>
                <w:color w:val="auto"/>
                <w:szCs w:val="21"/>
                <w:highlight w:val="none"/>
              </w:rPr>
            </w:pPr>
          </w:p>
        </w:tc>
        <w:tc>
          <w:tcPr>
            <w:tcW w:w="282" w:type="pct"/>
            <w:vAlign w:val="center"/>
          </w:tcPr>
          <w:p w14:paraId="3D0AA865">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1</w:t>
            </w:r>
          </w:p>
        </w:tc>
        <w:tc>
          <w:tcPr>
            <w:tcW w:w="2406" w:type="pct"/>
            <w:vAlign w:val="center"/>
          </w:tcPr>
          <w:p w14:paraId="5CEB068D">
            <w:pPr>
              <w:ind w:firstLine="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3、服务期内为采购人提供数据库优化服务的完成情况，次数不少于1次。</w:t>
            </w:r>
          </w:p>
        </w:tc>
      </w:tr>
      <w:tr w14:paraId="07FD1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 w:type="pct"/>
            <w:vMerge w:val="continue"/>
          </w:tcPr>
          <w:p w14:paraId="7798AEB3">
            <w:pPr>
              <w:ind w:firstLine="0"/>
              <w:jc w:val="center"/>
              <w:rPr>
                <w:rFonts w:hint="eastAsia" w:ascii="仿宋" w:hAnsi="仿宋" w:eastAsia="仿宋" w:cs="仿宋"/>
                <w:color w:val="auto"/>
                <w:szCs w:val="21"/>
                <w:highlight w:val="none"/>
              </w:rPr>
            </w:pPr>
          </w:p>
        </w:tc>
        <w:tc>
          <w:tcPr>
            <w:tcW w:w="281" w:type="pct"/>
            <w:vMerge w:val="continue"/>
          </w:tcPr>
          <w:p w14:paraId="377307BB">
            <w:pPr>
              <w:ind w:firstLine="0"/>
              <w:jc w:val="center"/>
              <w:rPr>
                <w:rFonts w:hint="eastAsia" w:ascii="仿宋" w:hAnsi="仿宋" w:eastAsia="仿宋" w:cs="仿宋"/>
                <w:color w:val="auto"/>
                <w:szCs w:val="21"/>
                <w:highlight w:val="none"/>
              </w:rPr>
            </w:pPr>
          </w:p>
        </w:tc>
        <w:tc>
          <w:tcPr>
            <w:tcW w:w="281" w:type="pct"/>
            <w:vMerge w:val="continue"/>
          </w:tcPr>
          <w:p w14:paraId="52FC70C4">
            <w:pPr>
              <w:ind w:firstLine="0"/>
              <w:jc w:val="center"/>
              <w:rPr>
                <w:rFonts w:hint="eastAsia" w:ascii="仿宋" w:hAnsi="仿宋" w:eastAsia="仿宋" w:cs="仿宋"/>
                <w:color w:val="auto"/>
                <w:szCs w:val="21"/>
                <w:highlight w:val="none"/>
              </w:rPr>
            </w:pPr>
          </w:p>
        </w:tc>
        <w:tc>
          <w:tcPr>
            <w:tcW w:w="1228" w:type="pct"/>
            <w:vMerge w:val="continue"/>
            <w:vAlign w:val="center"/>
          </w:tcPr>
          <w:p w14:paraId="397EF542">
            <w:pPr>
              <w:ind w:firstLine="0"/>
              <w:rPr>
                <w:rFonts w:hint="eastAsia" w:ascii="仿宋" w:hAnsi="仿宋" w:eastAsia="仿宋" w:cs="仿宋"/>
                <w:color w:val="auto"/>
                <w:szCs w:val="21"/>
                <w:highlight w:val="none"/>
              </w:rPr>
            </w:pPr>
          </w:p>
        </w:tc>
        <w:tc>
          <w:tcPr>
            <w:tcW w:w="272" w:type="pct"/>
            <w:vMerge w:val="continue"/>
          </w:tcPr>
          <w:p w14:paraId="5693A796">
            <w:pPr>
              <w:ind w:firstLine="0"/>
              <w:jc w:val="center"/>
              <w:rPr>
                <w:rFonts w:hint="eastAsia" w:ascii="仿宋" w:hAnsi="仿宋" w:eastAsia="仿宋" w:cs="仿宋"/>
                <w:color w:val="auto"/>
                <w:szCs w:val="21"/>
                <w:highlight w:val="none"/>
              </w:rPr>
            </w:pPr>
          </w:p>
        </w:tc>
        <w:tc>
          <w:tcPr>
            <w:tcW w:w="282" w:type="pct"/>
            <w:vAlign w:val="center"/>
          </w:tcPr>
          <w:p w14:paraId="799111AF">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0.5</w:t>
            </w:r>
          </w:p>
        </w:tc>
        <w:tc>
          <w:tcPr>
            <w:tcW w:w="2406" w:type="pct"/>
            <w:vAlign w:val="center"/>
          </w:tcPr>
          <w:p w14:paraId="4D6071DE">
            <w:pPr>
              <w:ind w:firstLine="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4、服务期内服务商按合同约定的数据库服务项目完成情况。</w:t>
            </w:r>
          </w:p>
        </w:tc>
      </w:tr>
      <w:tr w14:paraId="5575A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 w:type="pct"/>
            <w:vMerge w:val="continue"/>
          </w:tcPr>
          <w:p w14:paraId="149741D0">
            <w:pPr>
              <w:ind w:firstLine="0"/>
              <w:jc w:val="center"/>
              <w:rPr>
                <w:rFonts w:hint="eastAsia" w:ascii="仿宋" w:hAnsi="仿宋" w:eastAsia="仿宋" w:cs="仿宋"/>
                <w:color w:val="auto"/>
                <w:szCs w:val="21"/>
                <w:highlight w:val="none"/>
              </w:rPr>
            </w:pPr>
          </w:p>
        </w:tc>
        <w:tc>
          <w:tcPr>
            <w:tcW w:w="281" w:type="pct"/>
            <w:vMerge w:val="continue"/>
          </w:tcPr>
          <w:p w14:paraId="09C47D64">
            <w:pPr>
              <w:ind w:firstLine="0"/>
              <w:jc w:val="center"/>
              <w:rPr>
                <w:rFonts w:hint="eastAsia" w:ascii="仿宋" w:hAnsi="仿宋" w:eastAsia="仿宋" w:cs="仿宋"/>
                <w:color w:val="auto"/>
                <w:szCs w:val="21"/>
                <w:highlight w:val="none"/>
              </w:rPr>
            </w:pPr>
          </w:p>
        </w:tc>
        <w:tc>
          <w:tcPr>
            <w:tcW w:w="281" w:type="pct"/>
            <w:vMerge w:val="continue"/>
          </w:tcPr>
          <w:p w14:paraId="520B1AFA">
            <w:pPr>
              <w:ind w:firstLine="0"/>
              <w:jc w:val="center"/>
              <w:rPr>
                <w:rFonts w:hint="eastAsia" w:ascii="仿宋" w:hAnsi="仿宋" w:eastAsia="仿宋" w:cs="仿宋"/>
                <w:color w:val="auto"/>
                <w:szCs w:val="21"/>
                <w:highlight w:val="none"/>
              </w:rPr>
            </w:pPr>
          </w:p>
        </w:tc>
        <w:tc>
          <w:tcPr>
            <w:tcW w:w="1228" w:type="pct"/>
            <w:vMerge w:val="continue"/>
            <w:vAlign w:val="center"/>
          </w:tcPr>
          <w:p w14:paraId="0F16C4C3">
            <w:pPr>
              <w:ind w:firstLine="0"/>
              <w:rPr>
                <w:rFonts w:hint="eastAsia" w:ascii="仿宋" w:hAnsi="仿宋" w:eastAsia="仿宋" w:cs="仿宋"/>
                <w:color w:val="auto"/>
                <w:szCs w:val="21"/>
                <w:highlight w:val="none"/>
              </w:rPr>
            </w:pPr>
          </w:p>
        </w:tc>
        <w:tc>
          <w:tcPr>
            <w:tcW w:w="272" w:type="pct"/>
            <w:vMerge w:val="continue"/>
          </w:tcPr>
          <w:p w14:paraId="77871B71">
            <w:pPr>
              <w:ind w:firstLine="0"/>
              <w:jc w:val="center"/>
              <w:rPr>
                <w:rFonts w:hint="eastAsia" w:ascii="仿宋" w:hAnsi="仿宋" w:eastAsia="仿宋" w:cs="仿宋"/>
                <w:color w:val="auto"/>
                <w:szCs w:val="21"/>
                <w:highlight w:val="none"/>
              </w:rPr>
            </w:pPr>
          </w:p>
        </w:tc>
        <w:tc>
          <w:tcPr>
            <w:tcW w:w="282" w:type="pct"/>
            <w:vAlign w:val="center"/>
          </w:tcPr>
          <w:p w14:paraId="1534BD82">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0.5</w:t>
            </w:r>
          </w:p>
        </w:tc>
        <w:tc>
          <w:tcPr>
            <w:tcW w:w="2406" w:type="pct"/>
            <w:vAlign w:val="center"/>
          </w:tcPr>
          <w:p w14:paraId="2356D6A8">
            <w:pPr>
              <w:ind w:firstLine="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5、数据库运维服务各类记录完整，问题分析详细，解决及时。</w:t>
            </w:r>
          </w:p>
        </w:tc>
      </w:tr>
      <w:tr w14:paraId="29551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trPr>
        <w:tc>
          <w:tcPr>
            <w:tcW w:w="246" w:type="pct"/>
            <w:vMerge w:val="continue"/>
          </w:tcPr>
          <w:p w14:paraId="1DB602BC">
            <w:pPr>
              <w:ind w:firstLine="0"/>
              <w:jc w:val="center"/>
              <w:rPr>
                <w:rFonts w:hint="eastAsia" w:ascii="仿宋" w:hAnsi="仿宋" w:eastAsia="仿宋" w:cs="仿宋"/>
                <w:color w:val="auto"/>
                <w:szCs w:val="21"/>
                <w:highlight w:val="none"/>
              </w:rPr>
            </w:pPr>
          </w:p>
        </w:tc>
        <w:tc>
          <w:tcPr>
            <w:tcW w:w="281" w:type="pct"/>
            <w:vMerge w:val="continue"/>
          </w:tcPr>
          <w:p w14:paraId="6A93AF46">
            <w:pPr>
              <w:ind w:firstLine="0"/>
              <w:jc w:val="center"/>
              <w:rPr>
                <w:rFonts w:hint="eastAsia" w:ascii="仿宋" w:hAnsi="仿宋" w:eastAsia="仿宋" w:cs="仿宋"/>
                <w:color w:val="auto"/>
                <w:szCs w:val="21"/>
                <w:highlight w:val="none"/>
              </w:rPr>
            </w:pPr>
          </w:p>
        </w:tc>
        <w:tc>
          <w:tcPr>
            <w:tcW w:w="281" w:type="pct"/>
            <w:vMerge w:val="restart"/>
            <w:vAlign w:val="center"/>
          </w:tcPr>
          <w:p w14:paraId="3EB80D7C">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数据接口与报表更新服务</w:t>
            </w:r>
          </w:p>
        </w:tc>
        <w:tc>
          <w:tcPr>
            <w:tcW w:w="1228" w:type="pct"/>
            <w:vMerge w:val="restart"/>
            <w:vAlign w:val="center"/>
          </w:tcPr>
          <w:p w14:paraId="35EA2DF5">
            <w:pPr>
              <w:ind w:firstLine="0"/>
              <w:rPr>
                <w:rFonts w:hint="eastAsia" w:ascii="仿宋" w:hAnsi="仿宋" w:eastAsia="仿宋" w:cs="仿宋"/>
                <w:color w:val="auto"/>
                <w:szCs w:val="21"/>
                <w:highlight w:val="none"/>
              </w:rPr>
            </w:pPr>
            <w:r>
              <w:rPr>
                <w:rFonts w:hint="eastAsia" w:ascii="仿宋" w:hAnsi="仿宋" w:eastAsia="仿宋" w:cs="仿宋"/>
                <w:color w:val="auto"/>
                <w:szCs w:val="21"/>
                <w:highlight w:val="none"/>
              </w:rPr>
              <w:t>采购人原有系统接口与报表在日常应用中发现的问题解决情况。根据服务商解决的时效与质量综合情况评价。</w:t>
            </w:r>
          </w:p>
        </w:tc>
        <w:tc>
          <w:tcPr>
            <w:tcW w:w="272" w:type="pct"/>
            <w:vMerge w:val="restart"/>
            <w:vAlign w:val="center"/>
          </w:tcPr>
          <w:p w14:paraId="73F1D6A9">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5</w:t>
            </w:r>
          </w:p>
        </w:tc>
        <w:tc>
          <w:tcPr>
            <w:tcW w:w="282" w:type="pct"/>
            <w:vAlign w:val="center"/>
          </w:tcPr>
          <w:p w14:paraId="1FC4F640">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3</w:t>
            </w:r>
          </w:p>
        </w:tc>
        <w:tc>
          <w:tcPr>
            <w:tcW w:w="2406" w:type="pct"/>
            <w:vAlign w:val="center"/>
          </w:tcPr>
          <w:p w14:paraId="6227BB9B">
            <w:pPr>
              <w:ind w:firstLine="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1、系统接口程序与报表问题响应及时，通过远程或现场方式快速有效的解决问题。</w:t>
            </w:r>
          </w:p>
        </w:tc>
      </w:tr>
      <w:tr w14:paraId="29856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 w:type="pct"/>
            <w:vMerge w:val="continue"/>
          </w:tcPr>
          <w:p w14:paraId="409F955C">
            <w:pPr>
              <w:ind w:firstLine="0"/>
              <w:jc w:val="center"/>
              <w:rPr>
                <w:rFonts w:hint="eastAsia" w:ascii="仿宋" w:hAnsi="仿宋" w:eastAsia="仿宋" w:cs="仿宋"/>
                <w:color w:val="auto"/>
                <w:szCs w:val="21"/>
                <w:highlight w:val="none"/>
              </w:rPr>
            </w:pPr>
          </w:p>
        </w:tc>
        <w:tc>
          <w:tcPr>
            <w:tcW w:w="281" w:type="pct"/>
            <w:vMerge w:val="continue"/>
          </w:tcPr>
          <w:p w14:paraId="4531CA55">
            <w:pPr>
              <w:ind w:firstLine="0"/>
              <w:jc w:val="center"/>
              <w:rPr>
                <w:rFonts w:hint="eastAsia" w:ascii="仿宋" w:hAnsi="仿宋" w:eastAsia="仿宋" w:cs="仿宋"/>
                <w:color w:val="auto"/>
                <w:szCs w:val="21"/>
                <w:highlight w:val="none"/>
              </w:rPr>
            </w:pPr>
          </w:p>
        </w:tc>
        <w:tc>
          <w:tcPr>
            <w:tcW w:w="281" w:type="pct"/>
            <w:vMerge w:val="continue"/>
          </w:tcPr>
          <w:p w14:paraId="222BE58A">
            <w:pPr>
              <w:ind w:firstLine="0"/>
              <w:jc w:val="center"/>
              <w:rPr>
                <w:rFonts w:hint="eastAsia" w:ascii="仿宋" w:hAnsi="仿宋" w:eastAsia="仿宋" w:cs="仿宋"/>
                <w:color w:val="auto"/>
                <w:szCs w:val="21"/>
                <w:highlight w:val="none"/>
              </w:rPr>
            </w:pPr>
          </w:p>
        </w:tc>
        <w:tc>
          <w:tcPr>
            <w:tcW w:w="1228" w:type="pct"/>
            <w:vMerge w:val="continue"/>
            <w:vAlign w:val="center"/>
          </w:tcPr>
          <w:p w14:paraId="09119DA0">
            <w:pPr>
              <w:ind w:firstLine="0"/>
              <w:rPr>
                <w:rFonts w:hint="eastAsia" w:ascii="仿宋" w:hAnsi="仿宋" w:eastAsia="仿宋" w:cs="仿宋"/>
                <w:color w:val="auto"/>
                <w:szCs w:val="21"/>
                <w:highlight w:val="none"/>
              </w:rPr>
            </w:pPr>
          </w:p>
        </w:tc>
        <w:tc>
          <w:tcPr>
            <w:tcW w:w="272" w:type="pct"/>
            <w:vMerge w:val="continue"/>
          </w:tcPr>
          <w:p w14:paraId="03D8C956">
            <w:pPr>
              <w:ind w:firstLine="0"/>
              <w:jc w:val="center"/>
              <w:rPr>
                <w:rFonts w:hint="eastAsia" w:ascii="仿宋" w:hAnsi="仿宋" w:eastAsia="仿宋" w:cs="仿宋"/>
                <w:color w:val="auto"/>
                <w:szCs w:val="21"/>
                <w:highlight w:val="none"/>
              </w:rPr>
            </w:pPr>
          </w:p>
        </w:tc>
        <w:tc>
          <w:tcPr>
            <w:tcW w:w="282" w:type="pct"/>
            <w:vAlign w:val="center"/>
          </w:tcPr>
          <w:p w14:paraId="2EB0A349">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2</w:t>
            </w:r>
          </w:p>
        </w:tc>
        <w:tc>
          <w:tcPr>
            <w:tcW w:w="2406" w:type="pct"/>
            <w:vAlign w:val="center"/>
          </w:tcPr>
          <w:p w14:paraId="49750674">
            <w:pPr>
              <w:ind w:firstLine="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2、原有系统接口程序与报表因政策的变化，需调整或更新的，服务商能及时有效的提供相应的更新服务或方案。</w:t>
            </w:r>
          </w:p>
        </w:tc>
      </w:tr>
      <w:tr w14:paraId="2205C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 w:type="pct"/>
            <w:vMerge w:val="restart"/>
            <w:vAlign w:val="center"/>
          </w:tcPr>
          <w:p w14:paraId="7F0BAAAB">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2</w:t>
            </w:r>
          </w:p>
        </w:tc>
        <w:tc>
          <w:tcPr>
            <w:tcW w:w="281" w:type="pct"/>
            <w:vMerge w:val="restart"/>
            <w:vAlign w:val="center"/>
          </w:tcPr>
          <w:p w14:paraId="7D9F702F">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系统开发与集成服务</w:t>
            </w:r>
          </w:p>
        </w:tc>
        <w:tc>
          <w:tcPr>
            <w:tcW w:w="281" w:type="pct"/>
            <w:vMerge w:val="restart"/>
            <w:vAlign w:val="center"/>
          </w:tcPr>
          <w:p w14:paraId="689FA3E6">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仪器设备集成服务</w:t>
            </w:r>
          </w:p>
        </w:tc>
        <w:tc>
          <w:tcPr>
            <w:tcW w:w="1228" w:type="pct"/>
            <w:vMerge w:val="restart"/>
            <w:vAlign w:val="center"/>
          </w:tcPr>
          <w:p w14:paraId="4F5F8CE4">
            <w:pPr>
              <w:ind w:firstLine="0"/>
              <w:rPr>
                <w:rFonts w:hint="eastAsia" w:ascii="仿宋" w:hAnsi="仿宋" w:eastAsia="仿宋" w:cs="仿宋"/>
                <w:color w:val="auto"/>
                <w:szCs w:val="21"/>
                <w:highlight w:val="none"/>
              </w:rPr>
            </w:pPr>
            <w:r>
              <w:rPr>
                <w:rFonts w:hint="eastAsia" w:ascii="仿宋" w:hAnsi="仿宋" w:eastAsia="仿宋" w:cs="仿宋"/>
                <w:color w:val="auto"/>
                <w:szCs w:val="21"/>
                <w:highlight w:val="none"/>
              </w:rPr>
              <w:t>采购人根据自身发展需求，新购置检验、影像与检查仪器设备，服务商应依据采购人使用部门需求提供设备集成接口开发的服务。采购人根据服务质量与需求完成情况进行服务评价。</w:t>
            </w:r>
          </w:p>
        </w:tc>
        <w:tc>
          <w:tcPr>
            <w:tcW w:w="272" w:type="pct"/>
            <w:vMerge w:val="restart"/>
            <w:vAlign w:val="center"/>
          </w:tcPr>
          <w:p w14:paraId="1FACD49B">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10</w:t>
            </w:r>
          </w:p>
        </w:tc>
        <w:tc>
          <w:tcPr>
            <w:tcW w:w="282" w:type="pct"/>
            <w:vAlign w:val="center"/>
          </w:tcPr>
          <w:p w14:paraId="4465069D">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3</w:t>
            </w:r>
          </w:p>
        </w:tc>
        <w:tc>
          <w:tcPr>
            <w:tcW w:w="2406" w:type="pct"/>
            <w:vAlign w:val="center"/>
          </w:tcPr>
          <w:p w14:paraId="72BB99BC">
            <w:pPr>
              <w:tabs>
                <w:tab w:val="left" w:pos="0"/>
              </w:tabs>
              <w:ind w:firstLine="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1、所有检验仪器实验共享数据传输快速、准确，标识与危急值传输无误。</w:t>
            </w:r>
          </w:p>
        </w:tc>
      </w:tr>
      <w:tr w14:paraId="56B69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 w:type="pct"/>
            <w:vMerge w:val="continue"/>
          </w:tcPr>
          <w:p w14:paraId="529514F8">
            <w:pPr>
              <w:ind w:firstLine="0"/>
              <w:jc w:val="center"/>
              <w:rPr>
                <w:rFonts w:hint="eastAsia" w:ascii="仿宋" w:hAnsi="仿宋" w:eastAsia="仿宋" w:cs="仿宋"/>
                <w:color w:val="auto"/>
                <w:szCs w:val="21"/>
                <w:highlight w:val="none"/>
              </w:rPr>
            </w:pPr>
          </w:p>
        </w:tc>
        <w:tc>
          <w:tcPr>
            <w:tcW w:w="281" w:type="pct"/>
            <w:vMerge w:val="continue"/>
          </w:tcPr>
          <w:p w14:paraId="3C52533F">
            <w:pPr>
              <w:ind w:firstLine="0"/>
              <w:jc w:val="center"/>
              <w:rPr>
                <w:rFonts w:hint="eastAsia" w:ascii="仿宋" w:hAnsi="仿宋" w:eastAsia="仿宋" w:cs="仿宋"/>
                <w:color w:val="auto"/>
                <w:szCs w:val="21"/>
                <w:highlight w:val="none"/>
              </w:rPr>
            </w:pPr>
          </w:p>
        </w:tc>
        <w:tc>
          <w:tcPr>
            <w:tcW w:w="281" w:type="pct"/>
            <w:vMerge w:val="continue"/>
          </w:tcPr>
          <w:p w14:paraId="3D5079F8">
            <w:pPr>
              <w:ind w:firstLine="0"/>
              <w:jc w:val="center"/>
              <w:rPr>
                <w:rFonts w:hint="eastAsia" w:ascii="仿宋" w:hAnsi="仿宋" w:eastAsia="仿宋" w:cs="仿宋"/>
                <w:color w:val="auto"/>
                <w:szCs w:val="21"/>
                <w:highlight w:val="none"/>
              </w:rPr>
            </w:pPr>
          </w:p>
        </w:tc>
        <w:tc>
          <w:tcPr>
            <w:tcW w:w="1228" w:type="pct"/>
            <w:vMerge w:val="continue"/>
            <w:vAlign w:val="center"/>
          </w:tcPr>
          <w:p w14:paraId="5363F004">
            <w:pPr>
              <w:ind w:firstLine="0"/>
              <w:rPr>
                <w:rFonts w:hint="eastAsia" w:ascii="仿宋" w:hAnsi="仿宋" w:eastAsia="仿宋" w:cs="仿宋"/>
                <w:color w:val="auto"/>
                <w:szCs w:val="21"/>
                <w:highlight w:val="none"/>
              </w:rPr>
            </w:pPr>
          </w:p>
        </w:tc>
        <w:tc>
          <w:tcPr>
            <w:tcW w:w="272" w:type="pct"/>
            <w:vMerge w:val="continue"/>
            <w:vAlign w:val="center"/>
          </w:tcPr>
          <w:p w14:paraId="3BFBA9E3">
            <w:pPr>
              <w:ind w:firstLine="0"/>
              <w:jc w:val="center"/>
              <w:rPr>
                <w:rFonts w:hint="eastAsia" w:ascii="仿宋" w:hAnsi="仿宋" w:eastAsia="仿宋" w:cs="仿宋"/>
                <w:color w:val="auto"/>
                <w:szCs w:val="21"/>
                <w:highlight w:val="none"/>
              </w:rPr>
            </w:pPr>
          </w:p>
        </w:tc>
        <w:tc>
          <w:tcPr>
            <w:tcW w:w="282" w:type="pct"/>
            <w:vAlign w:val="center"/>
          </w:tcPr>
          <w:p w14:paraId="40B13A8A">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3</w:t>
            </w:r>
          </w:p>
        </w:tc>
        <w:tc>
          <w:tcPr>
            <w:tcW w:w="2406" w:type="pct"/>
            <w:vAlign w:val="center"/>
          </w:tcPr>
          <w:p w14:paraId="6A1F8823">
            <w:pPr>
              <w:ind w:firstLine="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2、所有影像设备共享数据传输快速、准确，报告内容完整，标识与危急值传输无误。</w:t>
            </w:r>
          </w:p>
        </w:tc>
      </w:tr>
      <w:tr w14:paraId="76134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 w:type="pct"/>
            <w:vMerge w:val="continue"/>
          </w:tcPr>
          <w:p w14:paraId="35A1D467">
            <w:pPr>
              <w:ind w:firstLine="0"/>
              <w:jc w:val="center"/>
              <w:rPr>
                <w:rFonts w:hint="eastAsia" w:ascii="仿宋" w:hAnsi="仿宋" w:eastAsia="仿宋" w:cs="仿宋"/>
                <w:color w:val="auto"/>
                <w:szCs w:val="21"/>
                <w:highlight w:val="none"/>
              </w:rPr>
            </w:pPr>
          </w:p>
        </w:tc>
        <w:tc>
          <w:tcPr>
            <w:tcW w:w="281" w:type="pct"/>
            <w:vMerge w:val="continue"/>
          </w:tcPr>
          <w:p w14:paraId="1C5E3535">
            <w:pPr>
              <w:ind w:firstLine="0"/>
              <w:jc w:val="center"/>
              <w:rPr>
                <w:rFonts w:hint="eastAsia" w:ascii="仿宋" w:hAnsi="仿宋" w:eastAsia="仿宋" w:cs="仿宋"/>
                <w:color w:val="auto"/>
                <w:szCs w:val="21"/>
                <w:highlight w:val="none"/>
              </w:rPr>
            </w:pPr>
          </w:p>
        </w:tc>
        <w:tc>
          <w:tcPr>
            <w:tcW w:w="281" w:type="pct"/>
            <w:vMerge w:val="continue"/>
          </w:tcPr>
          <w:p w14:paraId="652BF829">
            <w:pPr>
              <w:ind w:firstLine="0"/>
              <w:jc w:val="center"/>
              <w:rPr>
                <w:rFonts w:hint="eastAsia" w:ascii="仿宋" w:hAnsi="仿宋" w:eastAsia="仿宋" w:cs="仿宋"/>
                <w:color w:val="auto"/>
                <w:szCs w:val="21"/>
                <w:highlight w:val="none"/>
              </w:rPr>
            </w:pPr>
          </w:p>
        </w:tc>
        <w:tc>
          <w:tcPr>
            <w:tcW w:w="1228" w:type="pct"/>
            <w:vMerge w:val="continue"/>
            <w:vAlign w:val="center"/>
          </w:tcPr>
          <w:p w14:paraId="62DC28CA">
            <w:pPr>
              <w:ind w:firstLine="0"/>
              <w:rPr>
                <w:rFonts w:hint="eastAsia" w:ascii="仿宋" w:hAnsi="仿宋" w:eastAsia="仿宋" w:cs="仿宋"/>
                <w:color w:val="auto"/>
                <w:szCs w:val="21"/>
                <w:highlight w:val="none"/>
              </w:rPr>
            </w:pPr>
          </w:p>
        </w:tc>
        <w:tc>
          <w:tcPr>
            <w:tcW w:w="272" w:type="pct"/>
            <w:vMerge w:val="continue"/>
            <w:vAlign w:val="center"/>
          </w:tcPr>
          <w:p w14:paraId="3315BCCD">
            <w:pPr>
              <w:ind w:firstLine="0"/>
              <w:jc w:val="center"/>
              <w:rPr>
                <w:rFonts w:hint="eastAsia" w:ascii="仿宋" w:hAnsi="仿宋" w:eastAsia="仿宋" w:cs="仿宋"/>
                <w:color w:val="auto"/>
                <w:szCs w:val="21"/>
                <w:highlight w:val="none"/>
              </w:rPr>
            </w:pPr>
          </w:p>
        </w:tc>
        <w:tc>
          <w:tcPr>
            <w:tcW w:w="282" w:type="pct"/>
            <w:vAlign w:val="center"/>
          </w:tcPr>
          <w:p w14:paraId="63F8E222">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2</w:t>
            </w:r>
          </w:p>
        </w:tc>
        <w:tc>
          <w:tcPr>
            <w:tcW w:w="2406" w:type="pct"/>
            <w:vAlign w:val="center"/>
          </w:tcPr>
          <w:p w14:paraId="5E080E23">
            <w:pPr>
              <w:ind w:firstLine="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3、所有检查设备共享数据传输快速、准确，报告内容完整，标识与危急值传输无误。</w:t>
            </w:r>
          </w:p>
        </w:tc>
      </w:tr>
      <w:tr w14:paraId="128BE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 w:type="pct"/>
            <w:vMerge w:val="continue"/>
          </w:tcPr>
          <w:p w14:paraId="5BDC0D81">
            <w:pPr>
              <w:ind w:firstLine="0"/>
              <w:jc w:val="center"/>
              <w:rPr>
                <w:rFonts w:hint="eastAsia" w:ascii="仿宋" w:hAnsi="仿宋" w:eastAsia="仿宋" w:cs="仿宋"/>
                <w:color w:val="auto"/>
                <w:szCs w:val="21"/>
                <w:highlight w:val="none"/>
              </w:rPr>
            </w:pPr>
          </w:p>
        </w:tc>
        <w:tc>
          <w:tcPr>
            <w:tcW w:w="281" w:type="pct"/>
            <w:vMerge w:val="continue"/>
          </w:tcPr>
          <w:p w14:paraId="23FEE5E8">
            <w:pPr>
              <w:ind w:firstLine="0"/>
              <w:jc w:val="center"/>
              <w:rPr>
                <w:rFonts w:hint="eastAsia" w:ascii="仿宋" w:hAnsi="仿宋" w:eastAsia="仿宋" w:cs="仿宋"/>
                <w:color w:val="auto"/>
                <w:szCs w:val="21"/>
                <w:highlight w:val="none"/>
              </w:rPr>
            </w:pPr>
          </w:p>
        </w:tc>
        <w:tc>
          <w:tcPr>
            <w:tcW w:w="281" w:type="pct"/>
            <w:vMerge w:val="continue"/>
          </w:tcPr>
          <w:p w14:paraId="04C6B92C">
            <w:pPr>
              <w:ind w:firstLine="0"/>
              <w:jc w:val="center"/>
              <w:rPr>
                <w:rFonts w:hint="eastAsia" w:ascii="仿宋" w:hAnsi="仿宋" w:eastAsia="仿宋" w:cs="仿宋"/>
                <w:color w:val="auto"/>
                <w:szCs w:val="21"/>
                <w:highlight w:val="none"/>
              </w:rPr>
            </w:pPr>
          </w:p>
        </w:tc>
        <w:tc>
          <w:tcPr>
            <w:tcW w:w="1228" w:type="pct"/>
            <w:vMerge w:val="continue"/>
            <w:vAlign w:val="center"/>
          </w:tcPr>
          <w:p w14:paraId="56BA6FD3">
            <w:pPr>
              <w:ind w:firstLine="0"/>
              <w:rPr>
                <w:rFonts w:hint="eastAsia" w:ascii="仿宋" w:hAnsi="仿宋" w:eastAsia="仿宋" w:cs="仿宋"/>
                <w:color w:val="auto"/>
                <w:szCs w:val="21"/>
                <w:highlight w:val="none"/>
              </w:rPr>
            </w:pPr>
          </w:p>
        </w:tc>
        <w:tc>
          <w:tcPr>
            <w:tcW w:w="272" w:type="pct"/>
            <w:vMerge w:val="continue"/>
            <w:vAlign w:val="center"/>
          </w:tcPr>
          <w:p w14:paraId="4960DD40">
            <w:pPr>
              <w:ind w:firstLine="0"/>
              <w:jc w:val="center"/>
              <w:rPr>
                <w:rFonts w:hint="eastAsia" w:ascii="仿宋" w:hAnsi="仿宋" w:eastAsia="仿宋" w:cs="仿宋"/>
                <w:color w:val="auto"/>
                <w:szCs w:val="21"/>
                <w:highlight w:val="none"/>
              </w:rPr>
            </w:pPr>
          </w:p>
        </w:tc>
        <w:tc>
          <w:tcPr>
            <w:tcW w:w="282" w:type="pct"/>
            <w:vAlign w:val="center"/>
          </w:tcPr>
          <w:p w14:paraId="2414B3CC">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1</w:t>
            </w:r>
          </w:p>
        </w:tc>
        <w:tc>
          <w:tcPr>
            <w:tcW w:w="2406" w:type="pct"/>
            <w:vAlign w:val="center"/>
          </w:tcPr>
          <w:p w14:paraId="494260E4">
            <w:pPr>
              <w:ind w:firstLine="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4、通信日志记录完整，可追溯。</w:t>
            </w:r>
          </w:p>
        </w:tc>
      </w:tr>
      <w:tr w14:paraId="67963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 w:type="pct"/>
            <w:vMerge w:val="continue"/>
          </w:tcPr>
          <w:p w14:paraId="1BE18505">
            <w:pPr>
              <w:ind w:firstLine="0"/>
              <w:jc w:val="center"/>
              <w:rPr>
                <w:rFonts w:hint="eastAsia" w:ascii="仿宋" w:hAnsi="仿宋" w:eastAsia="仿宋" w:cs="仿宋"/>
                <w:color w:val="auto"/>
                <w:szCs w:val="21"/>
                <w:highlight w:val="none"/>
              </w:rPr>
            </w:pPr>
          </w:p>
        </w:tc>
        <w:tc>
          <w:tcPr>
            <w:tcW w:w="281" w:type="pct"/>
            <w:vMerge w:val="continue"/>
          </w:tcPr>
          <w:p w14:paraId="35B8D17B">
            <w:pPr>
              <w:ind w:firstLine="0"/>
              <w:jc w:val="center"/>
              <w:rPr>
                <w:rFonts w:hint="eastAsia" w:ascii="仿宋" w:hAnsi="仿宋" w:eastAsia="仿宋" w:cs="仿宋"/>
                <w:color w:val="auto"/>
                <w:szCs w:val="21"/>
                <w:highlight w:val="none"/>
              </w:rPr>
            </w:pPr>
          </w:p>
        </w:tc>
        <w:tc>
          <w:tcPr>
            <w:tcW w:w="281" w:type="pct"/>
            <w:vMerge w:val="continue"/>
          </w:tcPr>
          <w:p w14:paraId="0E492C29">
            <w:pPr>
              <w:ind w:firstLine="0"/>
              <w:jc w:val="center"/>
              <w:rPr>
                <w:rFonts w:hint="eastAsia" w:ascii="仿宋" w:hAnsi="仿宋" w:eastAsia="仿宋" w:cs="仿宋"/>
                <w:color w:val="auto"/>
                <w:szCs w:val="21"/>
                <w:highlight w:val="none"/>
              </w:rPr>
            </w:pPr>
          </w:p>
        </w:tc>
        <w:tc>
          <w:tcPr>
            <w:tcW w:w="1228" w:type="pct"/>
            <w:vMerge w:val="continue"/>
            <w:vAlign w:val="center"/>
          </w:tcPr>
          <w:p w14:paraId="282FD785">
            <w:pPr>
              <w:ind w:firstLine="0"/>
              <w:rPr>
                <w:rFonts w:hint="eastAsia" w:ascii="仿宋" w:hAnsi="仿宋" w:eastAsia="仿宋" w:cs="仿宋"/>
                <w:color w:val="auto"/>
                <w:szCs w:val="21"/>
                <w:highlight w:val="none"/>
              </w:rPr>
            </w:pPr>
          </w:p>
        </w:tc>
        <w:tc>
          <w:tcPr>
            <w:tcW w:w="272" w:type="pct"/>
            <w:vMerge w:val="continue"/>
            <w:vAlign w:val="center"/>
          </w:tcPr>
          <w:p w14:paraId="4E6BCCC0">
            <w:pPr>
              <w:ind w:firstLine="0"/>
              <w:jc w:val="center"/>
              <w:rPr>
                <w:rFonts w:hint="eastAsia" w:ascii="仿宋" w:hAnsi="仿宋" w:eastAsia="仿宋" w:cs="仿宋"/>
                <w:color w:val="auto"/>
                <w:szCs w:val="21"/>
                <w:highlight w:val="none"/>
              </w:rPr>
            </w:pPr>
          </w:p>
        </w:tc>
        <w:tc>
          <w:tcPr>
            <w:tcW w:w="282" w:type="pct"/>
            <w:vAlign w:val="center"/>
          </w:tcPr>
          <w:p w14:paraId="189ACDE0">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1</w:t>
            </w:r>
          </w:p>
        </w:tc>
        <w:tc>
          <w:tcPr>
            <w:tcW w:w="2406" w:type="pct"/>
            <w:vAlign w:val="center"/>
          </w:tcPr>
          <w:p w14:paraId="05D8C1FA">
            <w:pPr>
              <w:ind w:firstLine="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5、所有接口程序经使用部门验收合格，且相关资料完整，</w:t>
            </w:r>
          </w:p>
        </w:tc>
      </w:tr>
      <w:tr w14:paraId="03C36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 w:type="pct"/>
            <w:vMerge w:val="continue"/>
          </w:tcPr>
          <w:p w14:paraId="09F24F07">
            <w:pPr>
              <w:ind w:firstLine="0"/>
              <w:jc w:val="center"/>
              <w:rPr>
                <w:rFonts w:hint="eastAsia" w:ascii="仿宋" w:hAnsi="仿宋" w:eastAsia="仿宋" w:cs="仿宋"/>
                <w:color w:val="auto"/>
                <w:szCs w:val="21"/>
                <w:highlight w:val="none"/>
              </w:rPr>
            </w:pPr>
          </w:p>
        </w:tc>
        <w:tc>
          <w:tcPr>
            <w:tcW w:w="281" w:type="pct"/>
            <w:vMerge w:val="continue"/>
          </w:tcPr>
          <w:p w14:paraId="2FCE7C03">
            <w:pPr>
              <w:ind w:firstLine="0"/>
              <w:jc w:val="center"/>
              <w:rPr>
                <w:rFonts w:hint="eastAsia" w:ascii="仿宋" w:hAnsi="仿宋" w:eastAsia="仿宋" w:cs="仿宋"/>
                <w:color w:val="auto"/>
                <w:szCs w:val="21"/>
                <w:highlight w:val="none"/>
              </w:rPr>
            </w:pPr>
          </w:p>
        </w:tc>
        <w:tc>
          <w:tcPr>
            <w:tcW w:w="281" w:type="pct"/>
            <w:vMerge w:val="restart"/>
            <w:vAlign w:val="center"/>
          </w:tcPr>
          <w:p w14:paraId="1F7848F9">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第三方应用接口开发服务</w:t>
            </w:r>
          </w:p>
        </w:tc>
        <w:tc>
          <w:tcPr>
            <w:tcW w:w="1228" w:type="pct"/>
            <w:vMerge w:val="restart"/>
            <w:vAlign w:val="center"/>
          </w:tcPr>
          <w:p w14:paraId="64942FAD">
            <w:pPr>
              <w:ind w:firstLine="0"/>
              <w:rPr>
                <w:rFonts w:hint="eastAsia" w:ascii="仿宋" w:hAnsi="仿宋" w:eastAsia="仿宋" w:cs="仿宋"/>
                <w:color w:val="auto"/>
                <w:szCs w:val="21"/>
                <w:highlight w:val="none"/>
              </w:rPr>
            </w:pPr>
            <w:r>
              <w:rPr>
                <w:rFonts w:hint="eastAsia" w:ascii="仿宋" w:hAnsi="仿宋" w:eastAsia="仿宋" w:cs="仿宋"/>
                <w:color w:val="auto"/>
                <w:szCs w:val="21"/>
                <w:highlight w:val="none"/>
              </w:rPr>
              <w:t>采购人根据自身信息化建设发展需求，新购置信息系统，服务商应依据采购人使用部门需求提供系统集成接口开发的服务。采购人根据程序开发的质量情况，共享数据的完整性、准确性与使用部门需求完成情况对服务商进行综合评价。</w:t>
            </w:r>
          </w:p>
        </w:tc>
        <w:tc>
          <w:tcPr>
            <w:tcW w:w="272" w:type="pct"/>
            <w:vMerge w:val="restart"/>
            <w:vAlign w:val="center"/>
          </w:tcPr>
          <w:p w14:paraId="23F5FB08">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12</w:t>
            </w:r>
          </w:p>
        </w:tc>
        <w:tc>
          <w:tcPr>
            <w:tcW w:w="282" w:type="pct"/>
            <w:vAlign w:val="center"/>
          </w:tcPr>
          <w:p w14:paraId="2EAC2D10">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1</w:t>
            </w:r>
          </w:p>
        </w:tc>
        <w:tc>
          <w:tcPr>
            <w:tcW w:w="2406" w:type="pct"/>
            <w:vAlign w:val="center"/>
          </w:tcPr>
          <w:p w14:paraId="1E497969">
            <w:pPr>
              <w:ind w:firstLine="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1、每个项目应成立结构合理的项目实施专业技术小组。人员架构合理，技术能力强。</w:t>
            </w:r>
          </w:p>
        </w:tc>
      </w:tr>
      <w:tr w14:paraId="457C3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 w:type="pct"/>
            <w:vMerge w:val="continue"/>
          </w:tcPr>
          <w:p w14:paraId="7A373696">
            <w:pPr>
              <w:ind w:firstLine="0"/>
              <w:jc w:val="center"/>
              <w:rPr>
                <w:rFonts w:hint="eastAsia" w:ascii="仿宋" w:hAnsi="仿宋" w:eastAsia="仿宋" w:cs="仿宋"/>
                <w:color w:val="auto"/>
                <w:szCs w:val="21"/>
                <w:highlight w:val="none"/>
              </w:rPr>
            </w:pPr>
          </w:p>
        </w:tc>
        <w:tc>
          <w:tcPr>
            <w:tcW w:w="281" w:type="pct"/>
            <w:vMerge w:val="continue"/>
          </w:tcPr>
          <w:p w14:paraId="33360A4F">
            <w:pPr>
              <w:ind w:firstLine="0"/>
              <w:jc w:val="center"/>
              <w:rPr>
                <w:rFonts w:hint="eastAsia" w:ascii="仿宋" w:hAnsi="仿宋" w:eastAsia="仿宋" w:cs="仿宋"/>
                <w:color w:val="auto"/>
                <w:szCs w:val="21"/>
                <w:highlight w:val="none"/>
              </w:rPr>
            </w:pPr>
          </w:p>
        </w:tc>
        <w:tc>
          <w:tcPr>
            <w:tcW w:w="281" w:type="pct"/>
            <w:vMerge w:val="continue"/>
          </w:tcPr>
          <w:p w14:paraId="3B364F3E">
            <w:pPr>
              <w:ind w:firstLine="0"/>
              <w:jc w:val="center"/>
              <w:rPr>
                <w:rFonts w:hint="eastAsia" w:ascii="仿宋" w:hAnsi="仿宋" w:eastAsia="仿宋" w:cs="仿宋"/>
                <w:color w:val="auto"/>
                <w:szCs w:val="21"/>
                <w:highlight w:val="none"/>
              </w:rPr>
            </w:pPr>
          </w:p>
        </w:tc>
        <w:tc>
          <w:tcPr>
            <w:tcW w:w="1228" w:type="pct"/>
            <w:vMerge w:val="continue"/>
            <w:vAlign w:val="center"/>
          </w:tcPr>
          <w:p w14:paraId="2D8ACF7F">
            <w:pPr>
              <w:ind w:firstLine="0"/>
              <w:rPr>
                <w:rFonts w:hint="eastAsia" w:ascii="仿宋" w:hAnsi="仿宋" w:eastAsia="仿宋" w:cs="仿宋"/>
                <w:color w:val="auto"/>
                <w:szCs w:val="21"/>
                <w:highlight w:val="none"/>
              </w:rPr>
            </w:pPr>
          </w:p>
        </w:tc>
        <w:tc>
          <w:tcPr>
            <w:tcW w:w="272" w:type="pct"/>
            <w:vMerge w:val="continue"/>
          </w:tcPr>
          <w:p w14:paraId="41470A09">
            <w:pPr>
              <w:ind w:firstLine="0"/>
              <w:jc w:val="center"/>
              <w:rPr>
                <w:rFonts w:hint="eastAsia" w:ascii="仿宋" w:hAnsi="仿宋" w:eastAsia="仿宋" w:cs="仿宋"/>
                <w:color w:val="auto"/>
                <w:szCs w:val="21"/>
                <w:highlight w:val="none"/>
              </w:rPr>
            </w:pPr>
          </w:p>
        </w:tc>
        <w:tc>
          <w:tcPr>
            <w:tcW w:w="282" w:type="pct"/>
            <w:vAlign w:val="center"/>
          </w:tcPr>
          <w:p w14:paraId="5D58DF5F">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2</w:t>
            </w:r>
          </w:p>
        </w:tc>
        <w:tc>
          <w:tcPr>
            <w:tcW w:w="2406" w:type="pct"/>
            <w:vAlign w:val="center"/>
          </w:tcPr>
          <w:p w14:paraId="357E3321">
            <w:pPr>
              <w:ind w:firstLine="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2、制定完善的接口开发方案，相关技术文档齐全，使用部门需求明确。</w:t>
            </w:r>
          </w:p>
        </w:tc>
      </w:tr>
      <w:tr w14:paraId="0617C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 w:type="pct"/>
            <w:vMerge w:val="continue"/>
          </w:tcPr>
          <w:p w14:paraId="495230ED">
            <w:pPr>
              <w:ind w:firstLine="0"/>
              <w:jc w:val="center"/>
              <w:rPr>
                <w:rFonts w:hint="eastAsia" w:ascii="仿宋" w:hAnsi="仿宋" w:eastAsia="仿宋" w:cs="仿宋"/>
                <w:color w:val="auto"/>
                <w:szCs w:val="21"/>
                <w:highlight w:val="none"/>
              </w:rPr>
            </w:pPr>
          </w:p>
        </w:tc>
        <w:tc>
          <w:tcPr>
            <w:tcW w:w="281" w:type="pct"/>
            <w:vMerge w:val="continue"/>
          </w:tcPr>
          <w:p w14:paraId="712BD01B">
            <w:pPr>
              <w:ind w:firstLine="0"/>
              <w:jc w:val="center"/>
              <w:rPr>
                <w:rFonts w:hint="eastAsia" w:ascii="仿宋" w:hAnsi="仿宋" w:eastAsia="仿宋" w:cs="仿宋"/>
                <w:color w:val="auto"/>
                <w:szCs w:val="21"/>
                <w:highlight w:val="none"/>
              </w:rPr>
            </w:pPr>
          </w:p>
        </w:tc>
        <w:tc>
          <w:tcPr>
            <w:tcW w:w="281" w:type="pct"/>
            <w:vMerge w:val="continue"/>
          </w:tcPr>
          <w:p w14:paraId="38DB9E1C">
            <w:pPr>
              <w:ind w:firstLine="0"/>
              <w:jc w:val="center"/>
              <w:rPr>
                <w:rFonts w:hint="eastAsia" w:ascii="仿宋" w:hAnsi="仿宋" w:eastAsia="仿宋" w:cs="仿宋"/>
                <w:color w:val="auto"/>
                <w:szCs w:val="21"/>
                <w:highlight w:val="none"/>
              </w:rPr>
            </w:pPr>
          </w:p>
        </w:tc>
        <w:tc>
          <w:tcPr>
            <w:tcW w:w="1228" w:type="pct"/>
            <w:vMerge w:val="continue"/>
            <w:vAlign w:val="center"/>
          </w:tcPr>
          <w:p w14:paraId="5C4D6D37">
            <w:pPr>
              <w:ind w:firstLine="0"/>
              <w:rPr>
                <w:rFonts w:hint="eastAsia" w:ascii="仿宋" w:hAnsi="仿宋" w:eastAsia="仿宋" w:cs="仿宋"/>
                <w:color w:val="auto"/>
                <w:szCs w:val="21"/>
                <w:highlight w:val="none"/>
              </w:rPr>
            </w:pPr>
          </w:p>
        </w:tc>
        <w:tc>
          <w:tcPr>
            <w:tcW w:w="272" w:type="pct"/>
            <w:vMerge w:val="continue"/>
          </w:tcPr>
          <w:p w14:paraId="2163B70A">
            <w:pPr>
              <w:ind w:firstLine="0"/>
              <w:jc w:val="center"/>
              <w:rPr>
                <w:rFonts w:hint="eastAsia" w:ascii="仿宋" w:hAnsi="仿宋" w:eastAsia="仿宋" w:cs="仿宋"/>
                <w:color w:val="auto"/>
                <w:szCs w:val="21"/>
                <w:highlight w:val="none"/>
              </w:rPr>
            </w:pPr>
          </w:p>
        </w:tc>
        <w:tc>
          <w:tcPr>
            <w:tcW w:w="282" w:type="pct"/>
            <w:vAlign w:val="center"/>
          </w:tcPr>
          <w:p w14:paraId="0971CF3B">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4</w:t>
            </w:r>
          </w:p>
        </w:tc>
        <w:tc>
          <w:tcPr>
            <w:tcW w:w="2406" w:type="pct"/>
            <w:vAlign w:val="center"/>
          </w:tcPr>
          <w:p w14:paraId="6E27C0AE">
            <w:pPr>
              <w:ind w:firstLine="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3、信息系统数据共享准确、完整，接口程序简洁、有效、可扩展性强，程序与数据库中相关标识清晰，记录完整。</w:t>
            </w:r>
          </w:p>
        </w:tc>
      </w:tr>
      <w:tr w14:paraId="0CCCC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 w:type="pct"/>
            <w:vMerge w:val="continue"/>
          </w:tcPr>
          <w:p w14:paraId="5841FBD8">
            <w:pPr>
              <w:ind w:firstLine="0"/>
              <w:jc w:val="center"/>
              <w:rPr>
                <w:rFonts w:hint="eastAsia" w:ascii="仿宋" w:hAnsi="仿宋" w:eastAsia="仿宋" w:cs="仿宋"/>
                <w:color w:val="auto"/>
                <w:szCs w:val="21"/>
                <w:highlight w:val="none"/>
              </w:rPr>
            </w:pPr>
          </w:p>
        </w:tc>
        <w:tc>
          <w:tcPr>
            <w:tcW w:w="281" w:type="pct"/>
            <w:vMerge w:val="continue"/>
          </w:tcPr>
          <w:p w14:paraId="76677085">
            <w:pPr>
              <w:ind w:firstLine="0"/>
              <w:jc w:val="center"/>
              <w:rPr>
                <w:rFonts w:hint="eastAsia" w:ascii="仿宋" w:hAnsi="仿宋" w:eastAsia="仿宋" w:cs="仿宋"/>
                <w:color w:val="auto"/>
                <w:szCs w:val="21"/>
                <w:highlight w:val="none"/>
              </w:rPr>
            </w:pPr>
          </w:p>
        </w:tc>
        <w:tc>
          <w:tcPr>
            <w:tcW w:w="281" w:type="pct"/>
            <w:vMerge w:val="continue"/>
          </w:tcPr>
          <w:p w14:paraId="7954A376">
            <w:pPr>
              <w:ind w:firstLine="0"/>
              <w:jc w:val="center"/>
              <w:rPr>
                <w:rFonts w:hint="eastAsia" w:ascii="仿宋" w:hAnsi="仿宋" w:eastAsia="仿宋" w:cs="仿宋"/>
                <w:color w:val="auto"/>
                <w:szCs w:val="21"/>
                <w:highlight w:val="none"/>
              </w:rPr>
            </w:pPr>
          </w:p>
        </w:tc>
        <w:tc>
          <w:tcPr>
            <w:tcW w:w="1228" w:type="pct"/>
            <w:vMerge w:val="continue"/>
            <w:vAlign w:val="center"/>
          </w:tcPr>
          <w:p w14:paraId="3F0FDD87">
            <w:pPr>
              <w:ind w:firstLine="0"/>
              <w:rPr>
                <w:rFonts w:hint="eastAsia" w:ascii="仿宋" w:hAnsi="仿宋" w:eastAsia="仿宋" w:cs="仿宋"/>
                <w:color w:val="auto"/>
                <w:szCs w:val="21"/>
                <w:highlight w:val="none"/>
              </w:rPr>
            </w:pPr>
          </w:p>
        </w:tc>
        <w:tc>
          <w:tcPr>
            <w:tcW w:w="272" w:type="pct"/>
            <w:vMerge w:val="continue"/>
          </w:tcPr>
          <w:p w14:paraId="5EB26107">
            <w:pPr>
              <w:ind w:firstLine="0"/>
              <w:jc w:val="center"/>
              <w:rPr>
                <w:rFonts w:hint="eastAsia" w:ascii="仿宋" w:hAnsi="仿宋" w:eastAsia="仿宋" w:cs="仿宋"/>
                <w:color w:val="auto"/>
                <w:szCs w:val="21"/>
                <w:highlight w:val="none"/>
              </w:rPr>
            </w:pPr>
          </w:p>
        </w:tc>
        <w:tc>
          <w:tcPr>
            <w:tcW w:w="282" w:type="pct"/>
            <w:vAlign w:val="center"/>
          </w:tcPr>
          <w:p w14:paraId="7C413357">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2</w:t>
            </w:r>
          </w:p>
        </w:tc>
        <w:tc>
          <w:tcPr>
            <w:tcW w:w="2406" w:type="pct"/>
            <w:vAlign w:val="center"/>
          </w:tcPr>
          <w:p w14:paraId="6C5B7CBA">
            <w:pPr>
              <w:ind w:firstLine="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4、接口程序建立完善的日志记录，可追溯。</w:t>
            </w:r>
          </w:p>
        </w:tc>
      </w:tr>
      <w:tr w14:paraId="39467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 w:type="pct"/>
            <w:vMerge w:val="continue"/>
          </w:tcPr>
          <w:p w14:paraId="275F17A7">
            <w:pPr>
              <w:ind w:firstLine="0"/>
              <w:jc w:val="center"/>
              <w:rPr>
                <w:rFonts w:hint="eastAsia" w:ascii="仿宋" w:hAnsi="仿宋" w:eastAsia="仿宋" w:cs="仿宋"/>
                <w:color w:val="auto"/>
                <w:szCs w:val="21"/>
                <w:highlight w:val="none"/>
              </w:rPr>
            </w:pPr>
          </w:p>
        </w:tc>
        <w:tc>
          <w:tcPr>
            <w:tcW w:w="281" w:type="pct"/>
            <w:vMerge w:val="continue"/>
          </w:tcPr>
          <w:p w14:paraId="061B1B11">
            <w:pPr>
              <w:ind w:firstLine="0"/>
              <w:jc w:val="center"/>
              <w:rPr>
                <w:rFonts w:hint="eastAsia" w:ascii="仿宋" w:hAnsi="仿宋" w:eastAsia="仿宋" w:cs="仿宋"/>
                <w:color w:val="auto"/>
                <w:szCs w:val="21"/>
                <w:highlight w:val="none"/>
              </w:rPr>
            </w:pPr>
          </w:p>
        </w:tc>
        <w:tc>
          <w:tcPr>
            <w:tcW w:w="281" w:type="pct"/>
            <w:vMerge w:val="continue"/>
          </w:tcPr>
          <w:p w14:paraId="58EA13E5">
            <w:pPr>
              <w:ind w:firstLine="0"/>
              <w:jc w:val="center"/>
              <w:rPr>
                <w:rFonts w:hint="eastAsia" w:ascii="仿宋" w:hAnsi="仿宋" w:eastAsia="仿宋" w:cs="仿宋"/>
                <w:color w:val="auto"/>
                <w:szCs w:val="21"/>
                <w:highlight w:val="none"/>
              </w:rPr>
            </w:pPr>
          </w:p>
        </w:tc>
        <w:tc>
          <w:tcPr>
            <w:tcW w:w="1228" w:type="pct"/>
            <w:vMerge w:val="continue"/>
            <w:vAlign w:val="center"/>
          </w:tcPr>
          <w:p w14:paraId="270A254A">
            <w:pPr>
              <w:ind w:firstLine="0"/>
              <w:rPr>
                <w:rFonts w:hint="eastAsia" w:ascii="仿宋" w:hAnsi="仿宋" w:eastAsia="仿宋" w:cs="仿宋"/>
                <w:color w:val="auto"/>
                <w:szCs w:val="21"/>
                <w:highlight w:val="none"/>
              </w:rPr>
            </w:pPr>
          </w:p>
        </w:tc>
        <w:tc>
          <w:tcPr>
            <w:tcW w:w="272" w:type="pct"/>
            <w:vMerge w:val="continue"/>
          </w:tcPr>
          <w:p w14:paraId="4B454D57">
            <w:pPr>
              <w:ind w:firstLine="0"/>
              <w:jc w:val="center"/>
              <w:rPr>
                <w:rFonts w:hint="eastAsia" w:ascii="仿宋" w:hAnsi="仿宋" w:eastAsia="仿宋" w:cs="仿宋"/>
                <w:color w:val="auto"/>
                <w:szCs w:val="21"/>
                <w:highlight w:val="none"/>
              </w:rPr>
            </w:pPr>
          </w:p>
        </w:tc>
        <w:tc>
          <w:tcPr>
            <w:tcW w:w="282" w:type="pct"/>
            <w:vAlign w:val="center"/>
          </w:tcPr>
          <w:p w14:paraId="3CB4EB0E">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1</w:t>
            </w:r>
          </w:p>
        </w:tc>
        <w:tc>
          <w:tcPr>
            <w:tcW w:w="2406" w:type="pct"/>
            <w:vAlign w:val="center"/>
          </w:tcPr>
          <w:p w14:paraId="03AA59DF">
            <w:pPr>
              <w:ind w:firstLine="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5、接口程序自动屏蔽或禁止数据库高风险操作，确保数据库中风险操作有审核、有记录。</w:t>
            </w:r>
          </w:p>
        </w:tc>
      </w:tr>
      <w:tr w14:paraId="347F8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 w:type="pct"/>
            <w:vMerge w:val="continue"/>
          </w:tcPr>
          <w:p w14:paraId="5F05B15D">
            <w:pPr>
              <w:ind w:firstLine="0"/>
              <w:jc w:val="center"/>
              <w:rPr>
                <w:rFonts w:hint="eastAsia" w:ascii="仿宋" w:hAnsi="仿宋" w:eastAsia="仿宋" w:cs="仿宋"/>
                <w:color w:val="auto"/>
                <w:szCs w:val="21"/>
                <w:highlight w:val="none"/>
              </w:rPr>
            </w:pPr>
          </w:p>
        </w:tc>
        <w:tc>
          <w:tcPr>
            <w:tcW w:w="281" w:type="pct"/>
            <w:vMerge w:val="continue"/>
          </w:tcPr>
          <w:p w14:paraId="787232B8">
            <w:pPr>
              <w:ind w:firstLine="0"/>
              <w:jc w:val="center"/>
              <w:rPr>
                <w:rFonts w:hint="eastAsia" w:ascii="仿宋" w:hAnsi="仿宋" w:eastAsia="仿宋" w:cs="仿宋"/>
                <w:color w:val="auto"/>
                <w:szCs w:val="21"/>
                <w:highlight w:val="none"/>
              </w:rPr>
            </w:pPr>
          </w:p>
        </w:tc>
        <w:tc>
          <w:tcPr>
            <w:tcW w:w="281" w:type="pct"/>
            <w:vMerge w:val="continue"/>
          </w:tcPr>
          <w:p w14:paraId="5010B94D">
            <w:pPr>
              <w:ind w:firstLine="0"/>
              <w:jc w:val="center"/>
              <w:rPr>
                <w:rFonts w:hint="eastAsia" w:ascii="仿宋" w:hAnsi="仿宋" w:eastAsia="仿宋" w:cs="仿宋"/>
                <w:color w:val="auto"/>
                <w:szCs w:val="21"/>
                <w:highlight w:val="none"/>
              </w:rPr>
            </w:pPr>
          </w:p>
        </w:tc>
        <w:tc>
          <w:tcPr>
            <w:tcW w:w="1228" w:type="pct"/>
            <w:vMerge w:val="continue"/>
            <w:vAlign w:val="center"/>
          </w:tcPr>
          <w:p w14:paraId="2CA18D93">
            <w:pPr>
              <w:ind w:firstLine="0"/>
              <w:rPr>
                <w:rFonts w:hint="eastAsia" w:ascii="仿宋" w:hAnsi="仿宋" w:eastAsia="仿宋" w:cs="仿宋"/>
                <w:color w:val="auto"/>
                <w:szCs w:val="21"/>
                <w:highlight w:val="none"/>
              </w:rPr>
            </w:pPr>
          </w:p>
        </w:tc>
        <w:tc>
          <w:tcPr>
            <w:tcW w:w="272" w:type="pct"/>
            <w:vMerge w:val="continue"/>
          </w:tcPr>
          <w:p w14:paraId="4CC108A2">
            <w:pPr>
              <w:ind w:firstLine="0"/>
              <w:jc w:val="center"/>
              <w:rPr>
                <w:rFonts w:hint="eastAsia" w:ascii="仿宋" w:hAnsi="仿宋" w:eastAsia="仿宋" w:cs="仿宋"/>
                <w:color w:val="auto"/>
                <w:szCs w:val="21"/>
                <w:highlight w:val="none"/>
              </w:rPr>
            </w:pPr>
          </w:p>
        </w:tc>
        <w:tc>
          <w:tcPr>
            <w:tcW w:w="282" w:type="pct"/>
            <w:vAlign w:val="center"/>
          </w:tcPr>
          <w:p w14:paraId="24750C97">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2</w:t>
            </w:r>
          </w:p>
        </w:tc>
        <w:tc>
          <w:tcPr>
            <w:tcW w:w="2406" w:type="pct"/>
            <w:vAlign w:val="center"/>
          </w:tcPr>
          <w:p w14:paraId="3970B940">
            <w:pPr>
              <w:ind w:firstLine="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6、每个项目经使用部门验收合格，且相关资料完整，</w:t>
            </w:r>
          </w:p>
        </w:tc>
      </w:tr>
      <w:tr w14:paraId="0E69F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 w:type="pct"/>
            <w:vMerge w:val="restart"/>
            <w:vAlign w:val="center"/>
          </w:tcPr>
          <w:p w14:paraId="1CA3F99A">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3</w:t>
            </w:r>
          </w:p>
        </w:tc>
        <w:tc>
          <w:tcPr>
            <w:tcW w:w="281" w:type="pct"/>
            <w:vMerge w:val="restart"/>
            <w:vAlign w:val="center"/>
          </w:tcPr>
          <w:p w14:paraId="59AB5D63">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系统升级更新服务</w:t>
            </w:r>
          </w:p>
        </w:tc>
        <w:tc>
          <w:tcPr>
            <w:tcW w:w="281" w:type="pct"/>
            <w:vMerge w:val="restart"/>
            <w:vAlign w:val="center"/>
          </w:tcPr>
          <w:p w14:paraId="1E2A9401">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系统升级服务</w:t>
            </w:r>
          </w:p>
        </w:tc>
        <w:tc>
          <w:tcPr>
            <w:tcW w:w="1228" w:type="pct"/>
            <w:vMerge w:val="restart"/>
            <w:vAlign w:val="center"/>
          </w:tcPr>
          <w:p w14:paraId="627CB990">
            <w:pPr>
              <w:ind w:firstLine="0"/>
              <w:rPr>
                <w:rFonts w:hint="eastAsia" w:ascii="仿宋" w:hAnsi="仿宋" w:eastAsia="仿宋" w:cs="仿宋"/>
                <w:color w:val="auto"/>
                <w:szCs w:val="21"/>
                <w:highlight w:val="none"/>
              </w:rPr>
            </w:pPr>
            <w:r>
              <w:rPr>
                <w:rFonts w:hint="eastAsia" w:ascii="仿宋" w:hAnsi="仿宋" w:eastAsia="仿宋" w:cs="仿宋"/>
                <w:color w:val="auto"/>
                <w:szCs w:val="21"/>
                <w:highlight w:val="none"/>
              </w:rPr>
              <w:t>结合系统升级服务相关工作记录，对服务商该项工作完成情况与服务质量进行评价。</w:t>
            </w:r>
          </w:p>
        </w:tc>
        <w:tc>
          <w:tcPr>
            <w:tcW w:w="272" w:type="pct"/>
            <w:vMerge w:val="restart"/>
            <w:vAlign w:val="center"/>
          </w:tcPr>
          <w:p w14:paraId="65E7A2ED">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3</w:t>
            </w:r>
          </w:p>
        </w:tc>
        <w:tc>
          <w:tcPr>
            <w:tcW w:w="282" w:type="pct"/>
            <w:vAlign w:val="center"/>
          </w:tcPr>
          <w:p w14:paraId="0262413B">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1</w:t>
            </w:r>
          </w:p>
        </w:tc>
        <w:tc>
          <w:tcPr>
            <w:tcW w:w="2406" w:type="pct"/>
            <w:vAlign w:val="center"/>
          </w:tcPr>
          <w:p w14:paraId="0E6D33D4">
            <w:pPr>
              <w:ind w:firstLine="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1、升级服务项目管理组织能力情况，是否成立项目专班，组织架构合理，技术能力强。</w:t>
            </w:r>
          </w:p>
        </w:tc>
      </w:tr>
      <w:tr w14:paraId="59308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 w:type="pct"/>
            <w:vMerge w:val="continue"/>
          </w:tcPr>
          <w:p w14:paraId="1192C370">
            <w:pPr>
              <w:ind w:firstLine="0"/>
              <w:jc w:val="center"/>
              <w:rPr>
                <w:rFonts w:hint="eastAsia" w:ascii="仿宋" w:hAnsi="仿宋" w:eastAsia="仿宋" w:cs="仿宋"/>
                <w:color w:val="auto"/>
                <w:szCs w:val="21"/>
                <w:highlight w:val="none"/>
              </w:rPr>
            </w:pPr>
          </w:p>
        </w:tc>
        <w:tc>
          <w:tcPr>
            <w:tcW w:w="281" w:type="pct"/>
            <w:vMerge w:val="continue"/>
          </w:tcPr>
          <w:p w14:paraId="466053B0">
            <w:pPr>
              <w:ind w:firstLine="0"/>
              <w:jc w:val="center"/>
              <w:rPr>
                <w:rFonts w:hint="eastAsia" w:ascii="仿宋" w:hAnsi="仿宋" w:eastAsia="仿宋" w:cs="仿宋"/>
                <w:color w:val="auto"/>
                <w:szCs w:val="21"/>
                <w:highlight w:val="none"/>
              </w:rPr>
            </w:pPr>
          </w:p>
        </w:tc>
        <w:tc>
          <w:tcPr>
            <w:tcW w:w="281" w:type="pct"/>
            <w:vMerge w:val="continue"/>
          </w:tcPr>
          <w:p w14:paraId="78776305">
            <w:pPr>
              <w:ind w:firstLine="0"/>
              <w:jc w:val="center"/>
              <w:rPr>
                <w:rFonts w:hint="eastAsia" w:ascii="仿宋" w:hAnsi="仿宋" w:eastAsia="仿宋" w:cs="仿宋"/>
                <w:color w:val="auto"/>
                <w:szCs w:val="21"/>
                <w:highlight w:val="none"/>
              </w:rPr>
            </w:pPr>
          </w:p>
        </w:tc>
        <w:tc>
          <w:tcPr>
            <w:tcW w:w="1228" w:type="pct"/>
            <w:vMerge w:val="continue"/>
            <w:vAlign w:val="center"/>
          </w:tcPr>
          <w:p w14:paraId="171EC016">
            <w:pPr>
              <w:ind w:firstLine="0"/>
              <w:rPr>
                <w:rFonts w:hint="eastAsia" w:ascii="仿宋" w:hAnsi="仿宋" w:eastAsia="仿宋" w:cs="仿宋"/>
                <w:color w:val="auto"/>
                <w:szCs w:val="21"/>
                <w:highlight w:val="none"/>
              </w:rPr>
            </w:pPr>
          </w:p>
        </w:tc>
        <w:tc>
          <w:tcPr>
            <w:tcW w:w="272" w:type="pct"/>
            <w:vMerge w:val="continue"/>
          </w:tcPr>
          <w:p w14:paraId="11BBDCD8">
            <w:pPr>
              <w:ind w:firstLine="0"/>
              <w:jc w:val="center"/>
              <w:rPr>
                <w:rFonts w:hint="eastAsia" w:ascii="仿宋" w:hAnsi="仿宋" w:eastAsia="仿宋" w:cs="仿宋"/>
                <w:color w:val="auto"/>
                <w:szCs w:val="21"/>
                <w:highlight w:val="none"/>
              </w:rPr>
            </w:pPr>
          </w:p>
        </w:tc>
        <w:tc>
          <w:tcPr>
            <w:tcW w:w="282" w:type="pct"/>
            <w:vAlign w:val="center"/>
          </w:tcPr>
          <w:p w14:paraId="6F13FD91">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2</w:t>
            </w:r>
          </w:p>
        </w:tc>
        <w:tc>
          <w:tcPr>
            <w:tcW w:w="2406" w:type="pct"/>
            <w:vAlign w:val="center"/>
          </w:tcPr>
          <w:p w14:paraId="6CF39F3B">
            <w:pPr>
              <w:ind w:firstLine="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2、升级服务准备工作完善，信息收集全面，功能模块测试到位，升级过程无重大故障。</w:t>
            </w:r>
          </w:p>
        </w:tc>
      </w:tr>
      <w:tr w14:paraId="51979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 w:type="pct"/>
            <w:vMerge w:val="continue"/>
          </w:tcPr>
          <w:p w14:paraId="35F19042">
            <w:pPr>
              <w:ind w:firstLine="0"/>
              <w:jc w:val="center"/>
              <w:rPr>
                <w:rFonts w:hint="eastAsia" w:ascii="仿宋" w:hAnsi="仿宋" w:eastAsia="仿宋" w:cs="仿宋"/>
                <w:color w:val="auto"/>
                <w:szCs w:val="21"/>
                <w:highlight w:val="none"/>
              </w:rPr>
            </w:pPr>
          </w:p>
        </w:tc>
        <w:tc>
          <w:tcPr>
            <w:tcW w:w="281" w:type="pct"/>
            <w:vMerge w:val="continue"/>
          </w:tcPr>
          <w:p w14:paraId="0F381430">
            <w:pPr>
              <w:ind w:firstLine="0"/>
              <w:jc w:val="center"/>
              <w:rPr>
                <w:rFonts w:hint="eastAsia" w:ascii="仿宋" w:hAnsi="仿宋" w:eastAsia="仿宋" w:cs="仿宋"/>
                <w:color w:val="auto"/>
                <w:szCs w:val="21"/>
                <w:highlight w:val="none"/>
              </w:rPr>
            </w:pPr>
          </w:p>
        </w:tc>
        <w:tc>
          <w:tcPr>
            <w:tcW w:w="281" w:type="pct"/>
            <w:vMerge w:val="restart"/>
            <w:vAlign w:val="center"/>
          </w:tcPr>
          <w:p w14:paraId="756B319A">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服务质量</w:t>
            </w:r>
          </w:p>
        </w:tc>
        <w:tc>
          <w:tcPr>
            <w:tcW w:w="1228" w:type="pct"/>
            <w:vMerge w:val="restart"/>
            <w:vAlign w:val="center"/>
          </w:tcPr>
          <w:p w14:paraId="2C5ADBAE">
            <w:pPr>
              <w:ind w:firstLine="0"/>
              <w:rPr>
                <w:rFonts w:hint="eastAsia" w:ascii="仿宋" w:hAnsi="仿宋" w:eastAsia="仿宋" w:cs="仿宋"/>
                <w:color w:val="auto"/>
                <w:szCs w:val="21"/>
                <w:highlight w:val="none"/>
              </w:rPr>
            </w:pPr>
            <w:r>
              <w:rPr>
                <w:rFonts w:hint="eastAsia" w:ascii="仿宋" w:hAnsi="仿宋" w:eastAsia="仿宋" w:cs="仿宋"/>
                <w:color w:val="auto"/>
                <w:szCs w:val="21"/>
                <w:highlight w:val="none"/>
              </w:rPr>
              <w:t>依据服务商提供的升级服务工作日志记录与服务质量调查表情况评价。</w:t>
            </w:r>
          </w:p>
        </w:tc>
        <w:tc>
          <w:tcPr>
            <w:tcW w:w="272" w:type="pct"/>
            <w:vMerge w:val="restart"/>
            <w:vAlign w:val="center"/>
          </w:tcPr>
          <w:p w14:paraId="34AA6A11">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2</w:t>
            </w:r>
          </w:p>
        </w:tc>
        <w:tc>
          <w:tcPr>
            <w:tcW w:w="282" w:type="pct"/>
            <w:vAlign w:val="center"/>
          </w:tcPr>
          <w:p w14:paraId="08B3EF70">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0.5</w:t>
            </w:r>
          </w:p>
        </w:tc>
        <w:tc>
          <w:tcPr>
            <w:tcW w:w="2406" w:type="pct"/>
            <w:vAlign w:val="center"/>
          </w:tcPr>
          <w:p w14:paraId="79F54652">
            <w:pPr>
              <w:ind w:firstLine="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1、升级各工作日志记录完整，有测试报告、问题分析、实施方案。</w:t>
            </w:r>
          </w:p>
        </w:tc>
      </w:tr>
      <w:tr w14:paraId="7AE4A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 w:type="pct"/>
            <w:vMerge w:val="continue"/>
          </w:tcPr>
          <w:p w14:paraId="40C2E7C1">
            <w:pPr>
              <w:ind w:firstLine="0"/>
              <w:jc w:val="center"/>
              <w:rPr>
                <w:rFonts w:hint="eastAsia" w:ascii="仿宋" w:hAnsi="仿宋" w:eastAsia="仿宋" w:cs="仿宋"/>
                <w:color w:val="auto"/>
                <w:szCs w:val="21"/>
                <w:highlight w:val="none"/>
              </w:rPr>
            </w:pPr>
          </w:p>
        </w:tc>
        <w:tc>
          <w:tcPr>
            <w:tcW w:w="281" w:type="pct"/>
            <w:vMerge w:val="continue"/>
          </w:tcPr>
          <w:p w14:paraId="10419F7F">
            <w:pPr>
              <w:ind w:firstLine="0"/>
              <w:jc w:val="center"/>
              <w:rPr>
                <w:rFonts w:hint="eastAsia" w:ascii="仿宋" w:hAnsi="仿宋" w:eastAsia="仿宋" w:cs="仿宋"/>
                <w:color w:val="auto"/>
                <w:szCs w:val="21"/>
                <w:highlight w:val="none"/>
              </w:rPr>
            </w:pPr>
          </w:p>
        </w:tc>
        <w:tc>
          <w:tcPr>
            <w:tcW w:w="281" w:type="pct"/>
            <w:vMerge w:val="continue"/>
          </w:tcPr>
          <w:p w14:paraId="40909072">
            <w:pPr>
              <w:ind w:firstLine="0"/>
              <w:jc w:val="center"/>
              <w:rPr>
                <w:rFonts w:hint="eastAsia" w:ascii="仿宋" w:hAnsi="仿宋" w:eastAsia="仿宋" w:cs="仿宋"/>
                <w:color w:val="auto"/>
                <w:szCs w:val="21"/>
                <w:highlight w:val="none"/>
              </w:rPr>
            </w:pPr>
          </w:p>
        </w:tc>
        <w:tc>
          <w:tcPr>
            <w:tcW w:w="1228" w:type="pct"/>
            <w:vMerge w:val="continue"/>
            <w:vAlign w:val="center"/>
          </w:tcPr>
          <w:p w14:paraId="05023FEE">
            <w:pPr>
              <w:ind w:firstLine="0"/>
              <w:rPr>
                <w:rFonts w:hint="eastAsia" w:ascii="仿宋" w:hAnsi="仿宋" w:eastAsia="仿宋" w:cs="仿宋"/>
                <w:color w:val="auto"/>
                <w:szCs w:val="21"/>
                <w:highlight w:val="none"/>
              </w:rPr>
            </w:pPr>
          </w:p>
        </w:tc>
        <w:tc>
          <w:tcPr>
            <w:tcW w:w="272" w:type="pct"/>
            <w:vMerge w:val="continue"/>
          </w:tcPr>
          <w:p w14:paraId="425B511F">
            <w:pPr>
              <w:ind w:firstLine="0"/>
              <w:jc w:val="center"/>
              <w:rPr>
                <w:rFonts w:hint="eastAsia" w:ascii="仿宋" w:hAnsi="仿宋" w:eastAsia="仿宋" w:cs="仿宋"/>
                <w:color w:val="auto"/>
                <w:szCs w:val="21"/>
                <w:highlight w:val="none"/>
              </w:rPr>
            </w:pPr>
          </w:p>
        </w:tc>
        <w:tc>
          <w:tcPr>
            <w:tcW w:w="282" w:type="pct"/>
            <w:vAlign w:val="center"/>
          </w:tcPr>
          <w:p w14:paraId="4443ECED">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1.5</w:t>
            </w:r>
          </w:p>
        </w:tc>
        <w:tc>
          <w:tcPr>
            <w:tcW w:w="2406" w:type="pct"/>
            <w:vAlign w:val="center"/>
          </w:tcPr>
          <w:p w14:paraId="7CE511B1">
            <w:pPr>
              <w:ind w:firstLine="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2、升级服务后续无遗留问题，使用部门评价达标率≥90%</w:t>
            </w:r>
          </w:p>
        </w:tc>
      </w:tr>
      <w:tr w14:paraId="52971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 w:type="pct"/>
            <w:vMerge w:val="restart"/>
            <w:vAlign w:val="center"/>
          </w:tcPr>
          <w:p w14:paraId="31AA9A57">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4</w:t>
            </w:r>
          </w:p>
        </w:tc>
        <w:tc>
          <w:tcPr>
            <w:tcW w:w="281" w:type="pct"/>
            <w:vMerge w:val="restart"/>
            <w:vAlign w:val="center"/>
          </w:tcPr>
          <w:p w14:paraId="78EFC70E">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网络与数据安全服务</w:t>
            </w:r>
          </w:p>
        </w:tc>
        <w:tc>
          <w:tcPr>
            <w:tcW w:w="281" w:type="pct"/>
            <w:vMerge w:val="restart"/>
            <w:vAlign w:val="center"/>
          </w:tcPr>
          <w:p w14:paraId="21B460EB">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网络安全服务</w:t>
            </w:r>
          </w:p>
        </w:tc>
        <w:tc>
          <w:tcPr>
            <w:tcW w:w="1228" w:type="pct"/>
            <w:vMerge w:val="restart"/>
            <w:vAlign w:val="center"/>
          </w:tcPr>
          <w:p w14:paraId="1FF6E287">
            <w:pPr>
              <w:ind w:firstLine="0"/>
              <w:rPr>
                <w:rFonts w:hint="eastAsia" w:ascii="仿宋" w:hAnsi="仿宋" w:eastAsia="仿宋" w:cs="仿宋"/>
                <w:color w:val="auto"/>
                <w:szCs w:val="21"/>
                <w:highlight w:val="none"/>
              </w:rPr>
            </w:pPr>
            <w:r>
              <w:rPr>
                <w:rFonts w:hint="eastAsia" w:ascii="仿宋" w:hAnsi="仿宋" w:eastAsia="仿宋" w:cs="仿宋"/>
                <w:color w:val="auto"/>
                <w:szCs w:val="21"/>
                <w:highlight w:val="none"/>
              </w:rPr>
              <w:t>依据信息系统网络安全等保测评整改报告中涉及系统存在的问题整改完成情况评价。</w:t>
            </w:r>
          </w:p>
        </w:tc>
        <w:tc>
          <w:tcPr>
            <w:tcW w:w="272" w:type="pct"/>
            <w:vMerge w:val="restart"/>
            <w:vAlign w:val="center"/>
          </w:tcPr>
          <w:p w14:paraId="5D5D0FA3">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5</w:t>
            </w:r>
          </w:p>
        </w:tc>
        <w:tc>
          <w:tcPr>
            <w:tcW w:w="282" w:type="pct"/>
            <w:vAlign w:val="center"/>
          </w:tcPr>
          <w:p w14:paraId="562DBBB4">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1</w:t>
            </w:r>
          </w:p>
        </w:tc>
        <w:tc>
          <w:tcPr>
            <w:tcW w:w="2406" w:type="pct"/>
            <w:vAlign w:val="center"/>
          </w:tcPr>
          <w:p w14:paraId="3386B9EA">
            <w:pPr>
              <w:ind w:firstLine="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1、是否成立技术专班，逐项细致分析问题，且依据整改报告制定整改方案。</w:t>
            </w:r>
          </w:p>
        </w:tc>
      </w:tr>
      <w:tr w14:paraId="7905D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 w:type="pct"/>
            <w:vMerge w:val="continue"/>
          </w:tcPr>
          <w:p w14:paraId="0885B257">
            <w:pPr>
              <w:ind w:firstLine="0"/>
              <w:jc w:val="center"/>
              <w:rPr>
                <w:rFonts w:hint="eastAsia" w:ascii="仿宋" w:hAnsi="仿宋" w:eastAsia="仿宋" w:cs="仿宋"/>
                <w:color w:val="auto"/>
                <w:szCs w:val="21"/>
                <w:highlight w:val="none"/>
              </w:rPr>
            </w:pPr>
          </w:p>
        </w:tc>
        <w:tc>
          <w:tcPr>
            <w:tcW w:w="281" w:type="pct"/>
            <w:vMerge w:val="continue"/>
          </w:tcPr>
          <w:p w14:paraId="0C175840">
            <w:pPr>
              <w:ind w:firstLine="0"/>
              <w:jc w:val="center"/>
              <w:rPr>
                <w:rFonts w:hint="eastAsia" w:ascii="仿宋" w:hAnsi="仿宋" w:eastAsia="仿宋" w:cs="仿宋"/>
                <w:color w:val="auto"/>
                <w:szCs w:val="21"/>
                <w:highlight w:val="none"/>
              </w:rPr>
            </w:pPr>
          </w:p>
        </w:tc>
        <w:tc>
          <w:tcPr>
            <w:tcW w:w="281" w:type="pct"/>
            <w:vMerge w:val="continue"/>
          </w:tcPr>
          <w:p w14:paraId="76A13BE7">
            <w:pPr>
              <w:ind w:firstLine="0"/>
              <w:jc w:val="center"/>
              <w:rPr>
                <w:rFonts w:hint="eastAsia" w:ascii="仿宋" w:hAnsi="仿宋" w:eastAsia="仿宋" w:cs="仿宋"/>
                <w:color w:val="auto"/>
                <w:szCs w:val="21"/>
                <w:highlight w:val="none"/>
              </w:rPr>
            </w:pPr>
          </w:p>
        </w:tc>
        <w:tc>
          <w:tcPr>
            <w:tcW w:w="1228" w:type="pct"/>
            <w:vMerge w:val="continue"/>
            <w:vAlign w:val="center"/>
          </w:tcPr>
          <w:p w14:paraId="22841703">
            <w:pPr>
              <w:ind w:firstLine="0"/>
              <w:rPr>
                <w:rFonts w:hint="eastAsia" w:ascii="仿宋" w:hAnsi="仿宋" w:eastAsia="仿宋" w:cs="仿宋"/>
                <w:color w:val="auto"/>
                <w:szCs w:val="21"/>
                <w:highlight w:val="none"/>
              </w:rPr>
            </w:pPr>
          </w:p>
        </w:tc>
        <w:tc>
          <w:tcPr>
            <w:tcW w:w="272" w:type="pct"/>
            <w:vMerge w:val="continue"/>
          </w:tcPr>
          <w:p w14:paraId="40739EF0">
            <w:pPr>
              <w:ind w:firstLine="0"/>
              <w:jc w:val="center"/>
              <w:rPr>
                <w:rFonts w:hint="eastAsia" w:ascii="仿宋" w:hAnsi="仿宋" w:eastAsia="仿宋" w:cs="仿宋"/>
                <w:color w:val="auto"/>
                <w:szCs w:val="21"/>
                <w:highlight w:val="none"/>
              </w:rPr>
            </w:pPr>
          </w:p>
        </w:tc>
        <w:tc>
          <w:tcPr>
            <w:tcW w:w="282" w:type="pct"/>
            <w:vAlign w:val="center"/>
          </w:tcPr>
          <w:p w14:paraId="2EA536A7">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2</w:t>
            </w:r>
          </w:p>
        </w:tc>
        <w:tc>
          <w:tcPr>
            <w:tcW w:w="2406" w:type="pct"/>
            <w:vAlign w:val="center"/>
          </w:tcPr>
          <w:p w14:paraId="132E79DD">
            <w:pPr>
              <w:ind w:firstLine="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2、整改方案是否及时、有效落实到位。</w:t>
            </w:r>
          </w:p>
        </w:tc>
      </w:tr>
      <w:tr w14:paraId="7E44C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 w:type="pct"/>
            <w:vMerge w:val="continue"/>
          </w:tcPr>
          <w:p w14:paraId="70AC35B8">
            <w:pPr>
              <w:ind w:firstLine="0"/>
              <w:jc w:val="center"/>
              <w:rPr>
                <w:rFonts w:hint="eastAsia" w:ascii="仿宋" w:hAnsi="仿宋" w:eastAsia="仿宋" w:cs="仿宋"/>
                <w:color w:val="auto"/>
                <w:szCs w:val="21"/>
                <w:highlight w:val="none"/>
              </w:rPr>
            </w:pPr>
          </w:p>
        </w:tc>
        <w:tc>
          <w:tcPr>
            <w:tcW w:w="281" w:type="pct"/>
            <w:vMerge w:val="continue"/>
          </w:tcPr>
          <w:p w14:paraId="1995D7A5">
            <w:pPr>
              <w:ind w:firstLine="0"/>
              <w:jc w:val="center"/>
              <w:rPr>
                <w:rFonts w:hint="eastAsia" w:ascii="仿宋" w:hAnsi="仿宋" w:eastAsia="仿宋" w:cs="仿宋"/>
                <w:color w:val="auto"/>
                <w:szCs w:val="21"/>
                <w:highlight w:val="none"/>
              </w:rPr>
            </w:pPr>
          </w:p>
        </w:tc>
        <w:tc>
          <w:tcPr>
            <w:tcW w:w="281" w:type="pct"/>
            <w:vMerge w:val="continue"/>
          </w:tcPr>
          <w:p w14:paraId="247E9BE7">
            <w:pPr>
              <w:ind w:firstLine="0"/>
              <w:jc w:val="center"/>
              <w:rPr>
                <w:rFonts w:hint="eastAsia" w:ascii="仿宋" w:hAnsi="仿宋" w:eastAsia="仿宋" w:cs="仿宋"/>
                <w:color w:val="auto"/>
                <w:szCs w:val="21"/>
                <w:highlight w:val="none"/>
              </w:rPr>
            </w:pPr>
          </w:p>
        </w:tc>
        <w:tc>
          <w:tcPr>
            <w:tcW w:w="1228" w:type="pct"/>
            <w:vMerge w:val="continue"/>
            <w:vAlign w:val="center"/>
          </w:tcPr>
          <w:p w14:paraId="282FA0EC">
            <w:pPr>
              <w:ind w:firstLine="0"/>
              <w:rPr>
                <w:rFonts w:hint="eastAsia" w:ascii="仿宋" w:hAnsi="仿宋" w:eastAsia="仿宋" w:cs="仿宋"/>
                <w:color w:val="auto"/>
                <w:szCs w:val="21"/>
                <w:highlight w:val="none"/>
              </w:rPr>
            </w:pPr>
          </w:p>
        </w:tc>
        <w:tc>
          <w:tcPr>
            <w:tcW w:w="272" w:type="pct"/>
            <w:vMerge w:val="continue"/>
          </w:tcPr>
          <w:p w14:paraId="463D3375">
            <w:pPr>
              <w:ind w:firstLine="0"/>
              <w:jc w:val="center"/>
              <w:rPr>
                <w:rFonts w:hint="eastAsia" w:ascii="仿宋" w:hAnsi="仿宋" w:eastAsia="仿宋" w:cs="仿宋"/>
                <w:color w:val="auto"/>
                <w:szCs w:val="21"/>
                <w:highlight w:val="none"/>
              </w:rPr>
            </w:pPr>
          </w:p>
        </w:tc>
        <w:tc>
          <w:tcPr>
            <w:tcW w:w="282" w:type="pct"/>
            <w:vAlign w:val="center"/>
          </w:tcPr>
          <w:p w14:paraId="34EBF269">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2</w:t>
            </w:r>
          </w:p>
        </w:tc>
        <w:tc>
          <w:tcPr>
            <w:tcW w:w="2406" w:type="pct"/>
            <w:vAlign w:val="center"/>
          </w:tcPr>
          <w:p w14:paraId="5ABF76FE">
            <w:pPr>
              <w:ind w:firstLine="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3、协助医院等保复测达标率≥80%。</w:t>
            </w:r>
          </w:p>
        </w:tc>
      </w:tr>
      <w:tr w14:paraId="530B2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 w:type="pct"/>
            <w:vMerge w:val="continue"/>
          </w:tcPr>
          <w:p w14:paraId="2FAF72DB">
            <w:pPr>
              <w:ind w:firstLine="0"/>
              <w:jc w:val="center"/>
              <w:rPr>
                <w:rFonts w:hint="eastAsia" w:ascii="仿宋" w:hAnsi="仿宋" w:eastAsia="仿宋" w:cs="仿宋"/>
                <w:color w:val="auto"/>
                <w:szCs w:val="21"/>
                <w:highlight w:val="none"/>
              </w:rPr>
            </w:pPr>
          </w:p>
        </w:tc>
        <w:tc>
          <w:tcPr>
            <w:tcW w:w="281" w:type="pct"/>
            <w:vMerge w:val="continue"/>
          </w:tcPr>
          <w:p w14:paraId="78D60343">
            <w:pPr>
              <w:ind w:firstLine="0"/>
              <w:jc w:val="center"/>
              <w:rPr>
                <w:rFonts w:hint="eastAsia" w:ascii="仿宋" w:hAnsi="仿宋" w:eastAsia="仿宋" w:cs="仿宋"/>
                <w:color w:val="auto"/>
                <w:szCs w:val="21"/>
                <w:highlight w:val="none"/>
              </w:rPr>
            </w:pPr>
          </w:p>
        </w:tc>
        <w:tc>
          <w:tcPr>
            <w:tcW w:w="281" w:type="pct"/>
            <w:vMerge w:val="restart"/>
            <w:vAlign w:val="center"/>
          </w:tcPr>
          <w:p w14:paraId="45481B06">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数据安全服务</w:t>
            </w:r>
          </w:p>
        </w:tc>
        <w:tc>
          <w:tcPr>
            <w:tcW w:w="1228" w:type="pct"/>
            <w:vMerge w:val="restart"/>
            <w:vAlign w:val="center"/>
          </w:tcPr>
          <w:p w14:paraId="7A418E6B">
            <w:pPr>
              <w:ind w:firstLine="0"/>
              <w:rPr>
                <w:rFonts w:hint="eastAsia" w:ascii="仿宋" w:hAnsi="仿宋" w:eastAsia="仿宋" w:cs="仿宋"/>
                <w:color w:val="auto"/>
                <w:szCs w:val="21"/>
                <w:highlight w:val="none"/>
              </w:rPr>
            </w:pPr>
            <w:r>
              <w:rPr>
                <w:rFonts w:hint="eastAsia" w:ascii="仿宋" w:hAnsi="仿宋" w:eastAsia="仿宋" w:cs="仿宋"/>
                <w:color w:val="auto"/>
                <w:szCs w:val="21"/>
                <w:highlight w:val="none"/>
              </w:rPr>
              <w:t>依据国家相关信息系统数据安全标准，对服务商提供的数据安全服务进行评价。</w:t>
            </w:r>
          </w:p>
        </w:tc>
        <w:tc>
          <w:tcPr>
            <w:tcW w:w="272" w:type="pct"/>
            <w:vMerge w:val="restart"/>
            <w:vAlign w:val="center"/>
          </w:tcPr>
          <w:p w14:paraId="40018586">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3</w:t>
            </w:r>
          </w:p>
        </w:tc>
        <w:tc>
          <w:tcPr>
            <w:tcW w:w="282" w:type="pct"/>
            <w:vAlign w:val="center"/>
          </w:tcPr>
          <w:p w14:paraId="156C39D4">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1</w:t>
            </w:r>
          </w:p>
        </w:tc>
        <w:tc>
          <w:tcPr>
            <w:tcW w:w="2406" w:type="pct"/>
            <w:vAlign w:val="center"/>
          </w:tcPr>
          <w:p w14:paraId="73F32CD0">
            <w:pPr>
              <w:ind w:firstLine="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1、是否为采购人建立数据安全保护机制，提供信息系统数据安全方面合理建议。</w:t>
            </w:r>
          </w:p>
        </w:tc>
      </w:tr>
      <w:tr w14:paraId="581DD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 w:type="pct"/>
            <w:vMerge w:val="continue"/>
          </w:tcPr>
          <w:p w14:paraId="6EE191DC">
            <w:pPr>
              <w:ind w:firstLine="0"/>
              <w:jc w:val="center"/>
              <w:rPr>
                <w:rFonts w:hint="eastAsia" w:ascii="仿宋" w:hAnsi="仿宋" w:eastAsia="仿宋" w:cs="仿宋"/>
                <w:color w:val="auto"/>
                <w:szCs w:val="21"/>
                <w:highlight w:val="none"/>
              </w:rPr>
            </w:pPr>
          </w:p>
        </w:tc>
        <w:tc>
          <w:tcPr>
            <w:tcW w:w="281" w:type="pct"/>
            <w:vMerge w:val="continue"/>
          </w:tcPr>
          <w:p w14:paraId="5EA59D1B">
            <w:pPr>
              <w:ind w:firstLine="0"/>
              <w:jc w:val="center"/>
              <w:rPr>
                <w:rFonts w:hint="eastAsia" w:ascii="仿宋" w:hAnsi="仿宋" w:eastAsia="仿宋" w:cs="仿宋"/>
                <w:color w:val="auto"/>
                <w:szCs w:val="21"/>
                <w:highlight w:val="none"/>
              </w:rPr>
            </w:pPr>
          </w:p>
        </w:tc>
        <w:tc>
          <w:tcPr>
            <w:tcW w:w="281" w:type="pct"/>
            <w:vMerge w:val="continue"/>
          </w:tcPr>
          <w:p w14:paraId="1288FC23">
            <w:pPr>
              <w:ind w:firstLine="0"/>
              <w:jc w:val="center"/>
              <w:rPr>
                <w:rFonts w:hint="eastAsia" w:ascii="仿宋" w:hAnsi="仿宋" w:eastAsia="仿宋" w:cs="仿宋"/>
                <w:color w:val="auto"/>
                <w:szCs w:val="21"/>
                <w:highlight w:val="none"/>
              </w:rPr>
            </w:pPr>
          </w:p>
        </w:tc>
        <w:tc>
          <w:tcPr>
            <w:tcW w:w="1228" w:type="pct"/>
            <w:vMerge w:val="continue"/>
            <w:vAlign w:val="center"/>
          </w:tcPr>
          <w:p w14:paraId="2C3D90B3">
            <w:pPr>
              <w:ind w:firstLine="0"/>
              <w:rPr>
                <w:rFonts w:hint="eastAsia" w:ascii="仿宋" w:hAnsi="仿宋" w:eastAsia="仿宋" w:cs="仿宋"/>
                <w:color w:val="auto"/>
                <w:szCs w:val="21"/>
                <w:highlight w:val="none"/>
              </w:rPr>
            </w:pPr>
          </w:p>
        </w:tc>
        <w:tc>
          <w:tcPr>
            <w:tcW w:w="272" w:type="pct"/>
            <w:vMerge w:val="continue"/>
          </w:tcPr>
          <w:p w14:paraId="50E4EF87">
            <w:pPr>
              <w:ind w:firstLine="0"/>
              <w:jc w:val="center"/>
              <w:rPr>
                <w:rFonts w:hint="eastAsia" w:ascii="仿宋" w:hAnsi="仿宋" w:eastAsia="仿宋" w:cs="仿宋"/>
                <w:color w:val="auto"/>
                <w:szCs w:val="21"/>
                <w:highlight w:val="none"/>
              </w:rPr>
            </w:pPr>
          </w:p>
        </w:tc>
        <w:tc>
          <w:tcPr>
            <w:tcW w:w="282" w:type="pct"/>
            <w:vAlign w:val="center"/>
          </w:tcPr>
          <w:p w14:paraId="79C5F956">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2</w:t>
            </w:r>
          </w:p>
        </w:tc>
        <w:tc>
          <w:tcPr>
            <w:tcW w:w="2406" w:type="pct"/>
            <w:vAlign w:val="center"/>
          </w:tcPr>
          <w:p w14:paraId="3AFB5CA4">
            <w:pPr>
              <w:ind w:firstLine="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2、是否通过技术方案保障采购人数据安全。</w:t>
            </w:r>
          </w:p>
        </w:tc>
      </w:tr>
      <w:tr w14:paraId="08C0A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246" w:type="pct"/>
            <w:vMerge w:val="continue"/>
          </w:tcPr>
          <w:p w14:paraId="0BF13222">
            <w:pPr>
              <w:ind w:firstLine="0"/>
              <w:jc w:val="center"/>
              <w:rPr>
                <w:rFonts w:hint="eastAsia" w:ascii="仿宋" w:hAnsi="仿宋" w:eastAsia="仿宋" w:cs="仿宋"/>
                <w:color w:val="auto"/>
                <w:szCs w:val="21"/>
                <w:highlight w:val="none"/>
              </w:rPr>
            </w:pPr>
          </w:p>
        </w:tc>
        <w:tc>
          <w:tcPr>
            <w:tcW w:w="281" w:type="pct"/>
            <w:vMerge w:val="continue"/>
          </w:tcPr>
          <w:p w14:paraId="3F1CFB13">
            <w:pPr>
              <w:ind w:firstLine="0"/>
              <w:jc w:val="center"/>
              <w:rPr>
                <w:rFonts w:hint="eastAsia" w:ascii="仿宋" w:hAnsi="仿宋" w:eastAsia="仿宋" w:cs="仿宋"/>
                <w:color w:val="auto"/>
                <w:szCs w:val="21"/>
                <w:highlight w:val="none"/>
              </w:rPr>
            </w:pPr>
          </w:p>
        </w:tc>
        <w:tc>
          <w:tcPr>
            <w:tcW w:w="281" w:type="pct"/>
            <w:vMerge w:val="restart"/>
            <w:vAlign w:val="center"/>
          </w:tcPr>
          <w:p w14:paraId="55D8CEA2">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数据信息保密</w:t>
            </w:r>
          </w:p>
        </w:tc>
        <w:tc>
          <w:tcPr>
            <w:tcW w:w="1228" w:type="pct"/>
            <w:vMerge w:val="restart"/>
            <w:vAlign w:val="center"/>
          </w:tcPr>
          <w:p w14:paraId="797C08AC">
            <w:pPr>
              <w:ind w:firstLine="0"/>
              <w:rPr>
                <w:rFonts w:hint="eastAsia" w:ascii="仿宋" w:hAnsi="仿宋" w:eastAsia="仿宋" w:cs="仿宋"/>
                <w:color w:val="auto"/>
                <w:szCs w:val="21"/>
                <w:highlight w:val="none"/>
              </w:rPr>
            </w:pPr>
            <w:r>
              <w:rPr>
                <w:rFonts w:hint="eastAsia" w:ascii="仿宋" w:hAnsi="仿宋" w:eastAsia="仿宋" w:cs="仿宋"/>
                <w:color w:val="auto"/>
                <w:szCs w:val="21"/>
                <w:highlight w:val="none"/>
              </w:rPr>
              <w:t>依据国家数据信息保密相关法律法规及保密协议约定的条款，综合对服务商数据信息保密工作进行评价。</w:t>
            </w:r>
          </w:p>
        </w:tc>
        <w:tc>
          <w:tcPr>
            <w:tcW w:w="272" w:type="pct"/>
            <w:vMerge w:val="restart"/>
            <w:vAlign w:val="center"/>
          </w:tcPr>
          <w:p w14:paraId="266596F0">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4</w:t>
            </w:r>
          </w:p>
        </w:tc>
        <w:tc>
          <w:tcPr>
            <w:tcW w:w="282" w:type="pct"/>
            <w:vAlign w:val="center"/>
          </w:tcPr>
          <w:p w14:paraId="225C30C2">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0.5</w:t>
            </w:r>
          </w:p>
        </w:tc>
        <w:tc>
          <w:tcPr>
            <w:tcW w:w="2406" w:type="pct"/>
            <w:vAlign w:val="center"/>
          </w:tcPr>
          <w:p w14:paraId="45C74576">
            <w:pPr>
              <w:ind w:firstLine="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1、服务商是否建立数据信息保密制度或相关保密机制。</w:t>
            </w:r>
          </w:p>
        </w:tc>
      </w:tr>
      <w:tr w14:paraId="23A2E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 w:type="pct"/>
            <w:vMerge w:val="continue"/>
          </w:tcPr>
          <w:p w14:paraId="620EACD1">
            <w:pPr>
              <w:ind w:firstLine="0"/>
              <w:jc w:val="center"/>
              <w:rPr>
                <w:rFonts w:hint="eastAsia" w:ascii="仿宋" w:hAnsi="仿宋" w:eastAsia="仿宋" w:cs="仿宋"/>
                <w:color w:val="auto"/>
                <w:szCs w:val="21"/>
                <w:highlight w:val="none"/>
              </w:rPr>
            </w:pPr>
          </w:p>
        </w:tc>
        <w:tc>
          <w:tcPr>
            <w:tcW w:w="281" w:type="pct"/>
            <w:vMerge w:val="continue"/>
          </w:tcPr>
          <w:p w14:paraId="6808C356">
            <w:pPr>
              <w:ind w:firstLine="0"/>
              <w:jc w:val="center"/>
              <w:rPr>
                <w:rFonts w:hint="eastAsia" w:ascii="仿宋" w:hAnsi="仿宋" w:eastAsia="仿宋" w:cs="仿宋"/>
                <w:color w:val="auto"/>
                <w:szCs w:val="21"/>
                <w:highlight w:val="none"/>
              </w:rPr>
            </w:pPr>
          </w:p>
        </w:tc>
        <w:tc>
          <w:tcPr>
            <w:tcW w:w="281" w:type="pct"/>
            <w:vMerge w:val="continue"/>
          </w:tcPr>
          <w:p w14:paraId="333AAC49">
            <w:pPr>
              <w:ind w:firstLine="0"/>
              <w:jc w:val="center"/>
              <w:rPr>
                <w:rFonts w:hint="eastAsia" w:ascii="仿宋" w:hAnsi="仿宋" w:eastAsia="仿宋" w:cs="仿宋"/>
                <w:color w:val="auto"/>
                <w:szCs w:val="21"/>
                <w:highlight w:val="none"/>
              </w:rPr>
            </w:pPr>
          </w:p>
        </w:tc>
        <w:tc>
          <w:tcPr>
            <w:tcW w:w="1228" w:type="pct"/>
            <w:vMerge w:val="continue"/>
            <w:vAlign w:val="center"/>
          </w:tcPr>
          <w:p w14:paraId="6CF03187">
            <w:pPr>
              <w:ind w:firstLine="0"/>
              <w:rPr>
                <w:rFonts w:hint="eastAsia" w:ascii="仿宋" w:hAnsi="仿宋" w:eastAsia="仿宋" w:cs="仿宋"/>
                <w:color w:val="auto"/>
                <w:szCs w:val="21"/>
                <w:highlight w:val="none"/>
              </w:rPr>
            </w:pPr>
          </w:p>
        </w:tc>
        <w:tc>
          <w:tcPr>
            <w:tcW w:w="272" w:type="pct"/>
            <w:vMerge w:val="continue"/>
          </w:tcPr>
          <w:p w14:paraId="55A8ED0C">
            <w:pPr>
              <w:ind w:firstLine="0"/>
              <w:jc w:val="center"/>
              <w:rPr>
                <w:rFonts w:hint="eastAsia" w:ascii="仿宋" w:hAnsi="仿宋" w:eastAsia="仿宋" w:cs="仿宋"/>
                <w:color w:val="auto"/>
                <w:szCs w:val="21"/>
                <w:highlight w:val="none"/>
              </w:rPr>
            </w:pPr>
          </w:p>
        </w:tc>
        <w:tc>
          <w:tcPr>
            <w:tcW w:w="282" w:type="pct"/>
            <w:vAlign w:val="center"/>
          </w:tcPr>
          <w:p w14:paraId="4C9AB981">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1</w:t>
            </w:r>
          </w:p>
        </w:tc>
        <w:tc>
          <w:tcPr>
            <w:tcW w:w="2406" w:type="pct"/>
            <w:vAlign w:val="center"/>
          </w:tcPr>
          <w:p w14:paraId="66CB6307">
            <w:pPr>
              <w:ind w:firstLine="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2、服务商与采购人是否签定保密协议。</w:t>
            </w:r>
          </w:p>
        </w:tc>
      </w:tr>
      <w:tr w14:paraId="03A2B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 w:type="pct"/>
            <w:vMerge w:val="continue"/>
          </w:tcPr>
          <w:p w14:paraId="3AF40030">
            <w:pPr>
              <w:ind w:firstLine="0"/>
              <w:jc w:val="center"/>
              <w:rPr>
                <w:rFonts w:hint="eastAsia" w:ascii="仿宋" w:hAnsi="仿宋" w:eastAsia="仿宋" w:cs="仿宋"/>
                <w:color w:val="auto"/>
                <w:szCs w:val="21"/>
                <w:highlight w:val="none"/>
              </w:rPr>
            </w:pPr>
          </w:p>
        </w:tc>
        <w:tc>
          <w:tcPr>
            <w:tcW w:w="281" w:type="pct"/>
            <w:vMerge w:val="continue"/>
          </w:tcPr>
          <w:p w14:paraId="3DB7FC4B">
            <w:pPr>
              <w:ind w:firstLine="0"/>
              <w:jc w:val="center"/>
              <w:rPr>
                <w:rFonts w:hint="eastAsia" w:ascii="仿宋" w:hAnsi="仿宋" w:eastAsia="仿宋" w:cs="仿宋"/>
                <w:color w:val="auto"/>
                <w:szCs w:val="21"/>
                <w:highlight w:val="none"/>
              </w:rPr>
            </w:pPr>
          </w:p>
        </w:tc>
        <w:tc>
          <w:tcPr>
            <w:tcW w:w="281" w:type="pct"/>
            <w:vMerge w:val="continue"/>
          </w:tcPr>
          <w:p w14:paraId="56568E54">
            <w:pPr>
              <w:ind w:firstLine="0"/>
              <w:jc w:val="center"/>
              <w:rPr>
                <w:rFonts w:hint="eastAsia" w:ascii="仿宋" w:hAnsi="仿宋" w:eastAsia="仿宋" w:cs="仿宋"/>
                <w:color w:val="auto"/>
                <w:szCs w:val="21"/>
                <w:highlight w:val="none"/>
              </w:rPr>
            </w:pPr>
          </w:p>
        </w:tc>
        <w:tc>
          <w:tcPr>
            <w:tcW w:w="1228" w:type="pct"/>
            <w:vMerge w:val="continue"/>
            <w:vAlign w:val="center"/>
          </w:tcPr>
          <w:p w14:paraId="519F187D">
            <w:pPr>
              <w:ind w:firstLine="0"/>
              <w:rPr>
                <w:rFonts w:hint="eastAsia" w:ascii="仿宋" w:hAnsi="仿宋" w:eastAsia="仿宋" w:cs="仿宋"/>
                <w:color w:val="auto"/>
                <w:szCs w:val="21"/>
                <w:highlight w:val="none"/>
              </w:rPr>
            </w:pPr>
          </w:p>
        </w:tc>
        <w:tc>
          <w:tcPr>
            <w:tcW w:w="272" w:type="pct"/>
            <w:vMerge w:val="continue"/>
          </w:tcPr>
          <w:p w14:paraId="5F7B436F">
            <w:pPr>
              <w:ind w:firstLine="0"/>
              <w:jc w:val="center"/>
              <w:rPr>
                <w:rFonts w:hint="eastAsia" w:ascii="仿宋" w:hAnsi="仿宋" w:eastAsia="仿宋" w:cs="仿宋"/>
                <w:color w:val="auto"/>
                <w:szCs w:val="21"/>
                <w:highlight w:val="none"/>
              </w:rPr>
            </w:pPr>
          </w:p>
        </w:tc>
        <w:tc>
          <w:tcPr>
            <w:tcW w:w="282" w:type="pct"/>
            <w:vAlign w:val="center"/>
          </w:tcPr>
          <w:p w14:paraId="16D6D2DE">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1</w:t>
            </w:r>
          </w:p>
        </w:tc>
        <w:tc>
          <w:tcPr>
            <w:tcW w:w="2406" w:type="pct"/>
            <w:vAlign w:val="center"/>
          </w:tcPr>
          <w:p w14:paraId="4A644472">
            <w:pPr>
              <w:ind w:firstLine="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3、服务商是否与服务人员签定保密协议，且制定相关绩效考核制度。</w:t>
            </w:r>
          </w:p>
        </w:tc>
      </w:tr>
      <w:tr w14:paraId="6F536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 w:type="pct"/>
            <w:vMerge w:val="continue"/>
          </w:tcPr>
          <w:p w14:paraId="13C4EA9D">
            <w:pPr>
              <w:ind w:firstLine="0"/>
              <w:jc w:val="center"/>
              <w:rPr>
                <w:rFonts w:hint="eastAsia" w:ascii="仿宋" w:hAnsi="仿宋" w:eastAsia="仿宋" w:cs="仿宋"/>
                <w:color w:val="auto"/>
                <w:szCs w:val="21"/>
                <w:highlight w:val="none"/>
              </w:rPr>
            </w:pPr>
          </w:p>
        </w:tc>
        <w:tc>
          <w:tcPr>
            <w:tcW w:w="281" w:type="pct"/>
            <w:vMerge w:val="continue"/>
          </w:tcPr>
          <w:p w14:paraId="04693C84">
            <w:pPr>
              <w:ind w:firstLine="0"/>
              <w:jc w:val="center"/>
              <w:rPr>
                <w:rFonts w:hint="eastAsia" w:ascii="仿宋" w:hAnsi="仿宋" w:eastAsia="仿宋" w:cs="仿宋"/>
                <w:color w:val="auto"/>
                <w:szCs w:val="21"/>
                <w:highlight w:val="none"/>
              </w:rPr>
            </w:pPr>
          </w:p>
        </w:tc>
        <w:tc>
          <w:tcPr>
            <w:tcW w:w="281" w:type="pct"/>
            <w:vMerge w:val="continue"/>
          </w:tcPr>
          <w:p w14:paraId="54433F43">
            <w:pPr>
              <w:ind w:firstLine="0"/>
              <w:jc w:val="center"/>
              <w:rPr>
                <w:rFonts w:hint="eastAsia" w:ascii="仿宋" w:hAnsi="仿宋" w:eastAsia="仿宋" w:cs="仿宋"/>
                <w:color w:val="auto"/>
                <w:szCs w:val="21"/>
                <w:highlight w:val="none"/>
              </w:rPr>
            </w:pPr>
          </w:p>
        </w:tc>
        <w:tc>
          <w:tcPr>
            <w:tcW w:w="1228" w:type="pct"/>
            <w:vMerge w:val="continue"/>
            <w:vAlign w:val="center"/>
          </w:tcPr>
          <w:p w14:paraId="32DEC6BB">
            <w:pPr>
              <w:ind w:firstLine="0"/>
              <w:rPr>
                <w:rFonts w:hint="eastAsia" w:ascii="仿宋" w:hAnsi="仿宋" w:eastAsia="仿宋" w:cs="仿宋"/>
                <w:color w:val="auto"/>
                <w:szCs w:val="21"/>
                <w:highlight w:val="none"/>
              </w:rPr>
            </w:pPr>
          </w:p>
        </w:tc>
        <w:tc>
          <w:tcPr>
            <w:tcW w:w="272" w:type="pct"/>
            <w:vMerge w:val="continue"/>
          </w:tcPr>
          <w:p w14:paraId="277AC229">
            <w:pPr>
              <w:ind w:firstLine="0"/>
              <w:jc w:val="center"/>
              <w:rPr>
                <w:rFonts w:hint="eastAsia" w:ascii="仿宋" w:hAnsi="仿宋" w:eastAsia="仿宋" w:cs="仿宋"/>
                <w:color w:val="auto"/>
                <w:szCs w:val="21"/>
                <w:highlight w:val="none"/>
              </w:rPr>
            </w:pPr>
          </w:p>
        </w:tc>
        <w:tc>
          <w:tcPr>
            <w:tcW w:w="282" w:type="pct"/>
            <w:vAlign w:val="center"/>
          </w:tcPr>
          <w:p w14:paraId="2B776AA6">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1.5</w:t>
            </w:r>
          </w:p>
        </w:tc>
        <w:tc>
          <w:tcPr>
            <w:tcW w:w="2406" w:type="pct"/>
            <w:vAlign w:val="center"/>
          </w:tcPr>
          <w:p w14:paraId="1F432E49">
            <w:pPr>
              <w:ind w:firstLine="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4、保密协议期内是否存在信息泄露事件，如发生重大泄密事件，除根据协议追究服务商法律责任外，数据信息保密项目所有分值扣除。</w:t>
            </w:r>
          </w:p>
        </w:tc>
      </w:tr>
      <w:tr w14:paraId="7DFB6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 w:type="pct"/>
            <w:vMerge w:val="restart"/>
            <w:vAlign w:val="center"/>
          </w:tcPr>
          <w:p w14:paraId="6CBE9126">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5</w:t>
            </w:r>
          </w:p>
        </w:tc>
        <w:tc>
          <w:tcPr>
            <w:tcW w:w="563" w:type="pct"/>
            <w:gridSpan w:val="2"/>
            <w:vMerge w:val="restart"/>
            <w:vAlign w:val="center"/>
          </w:tcPr>
          <w:p w14:paraId="65D35ACF">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培训服务</w:t>
            </w:r>
          </w:p>
        </w:tc>
        <w:tc>
          <w:tcPr>
            <w:tcW w:w="1228" w:type="pct"/>
            <w:vMerge w:val="restart"/>
            <w:vAlign w:val="center"/>
          </w:tcPr>
          <w:p w14:paraId="784FA8B6">
            <w:pPr>
              <w:ind w:firstLine="0"/>
              <w:rPr>
                <w:rFonts w:hint="eastAsia" w:ascii="仿宋" w:hAnsi="仿宋" w:eastAsia="仿宋" w:cs="仿宋"/>
                <w:color w:val="auto"/>
                <w:szCs w:val="21"/>
                <w:highlight w:val="none"/>
              </w:rPr>
            </w:pPr>
            <w:r>
              <w:rPr>
                <w:rFonts w:hint="eastAsia" w:ascii="仿宋" w:hAnsi="仿宋" w:eastAsia="仿宋" w:cs="仿宋"/>
                <w:color w:val="auto"/>
                <w:szCs w:val="21"/>
                <w:highlight w:val="none"/>
              </w:rPr>
              <w:t>依据服务采购合同，评价服务商在服务期内提供的培训服务质量。</w:t>
            </w:r>
          </w:p>
        </w:tc>
        <w:tc>
          <w:tcPr>
            <w:tcW w:w="272" w:type="pct"/>
            <w:vMerge w:val="restart"/>
            <w:vAlign w:val="center"/>
          </w:tcPr>
          <w:p w14:paraId="23085571">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5</w:t>
            </w:r>
          </w:p>
        </w:tc>
        <w:tc>
          <w:tcPr>
            <w:tcW w:w="282" w:type="pct"/>
            <w:vAlign w:val="center"/>
          </w:tcPr>
          <w:p w14:paraId="11C28554">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2</w:t>
            </w:r>
          </w:p>
        </w:tc>
        <w:tc>
          <w:tcPr>
            <w:tcW w:w="2406" w:type="pct"/>
            <w:vAlign w:val="center"/>
          </w:tcPr>
          <w:p w14:paraId="6E81A09C">
            <w:pPr>
              <w:ind w:firstLine="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1、依据合同是否制定的培训计划。</w:t>
            </w:r>
          </w:p>
        </w:tc>
      </w:tr>
      <w:tr w14:paraId="5353E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 w:type="pct"/>
            <w:vMerge w:val="continue"/>
          </w:tcPr>
          <w:p w14:paraId="3127CA2E">
            <w:pPr>
              <w:ind w:firstLine="0"/>
              <w:jc w:val="center"/>
              <w:rPr>
                <w:rFonts w:hint="eastAsia" w:ascii="仿宋" w:hAnsi="仿宋" w:eastAsia="仿宋" w:cs="仿宋"/>
                <w:color w:val="auto"/>
                <w:szCs w:val="21"/>
                <w:highlight w:val="none"/>
              </w:rPr>
            </w:pPr>
          </w:p>
        </w:tc>
        <w:tc>
          <w:tcPr>
            <w:tcW w:w="563" w:type="pct"/>
            <w:gridSpan w:val="2"/>
            <w:vMerge w:val="continue"/>
          </w:tcPr>
          <w:p w14:paraId="5E8411B6">
            <w:pPr>
              <w:ind w:firstLine="0"/>
              <w:jc w:val="center"/>
              <w:rPr>
                <w:rFonts w:hint="eastAsia" w:ascii="仿宋" w:hAnsi="仿宋" w:eastAsia="仿宋" w:cs="仿宋"/>
                <w:color w:val="auto"/>
                <w:szCs w:val="21"/>
                <w:highlight w:val="none"/>
              </w:rPr>
            </w:pPr>
          </w:p>
        </w:tc>
        <w:tc>
          <w:tcPr>
            <w:tcW w:w="1228" w:type="pct"/>
            <w:vMerge w:val="continue"/>
            <w:vAlign w:val="center"/>
          </w:tcPr>
          <w:p w14:paraId="0BA86C81">
            <w:pPr>
              <w:ind w:firstLine="0"/>
              <w:rPr>
                <w:rFonts w:hint="eastAsia" w:ascii="仿宋" w:hAnsi="仿宋" w:eastAsia="仿宋" w:cs="仿宋"/>
                <w:color w:val="auto"/>
                <w:szCs w:val="21"/>
                <w:highlight w:val="none"/>
              </w:rPr>
            </w:pPr>
          </w:p>
        </w:tc>
        <w:tc>
          <w:tcPr>
            <w:tcW w:w="272" w:type="pct"/>
            <w:vMerge w:val="continue"/>
          </w:tcPr>
          <w:p w14:paraId="57574E3A">
            <w:pPr>
              <w:ind w:firstLine="0"/>
              <w:jc w:val="center"/>
              <w:rPr>
                <w:rFonts w:hint="eastAsia" w:ascii="仿宋" w:hAnsi="仿宋" w:eastAsia="仿宋" w:cs="仿宋"/>
                <w:color w:val="auto"/>
                <w:szCs w:val="21"/>
                <w:highlight w:val="none"/>
              </w:rPr>
            </w:pPr>
          </w:p>
        </w:tc>
        <w:tc>
          <w:tcPr>
            <w:tcW w:w="282" w:type="pct"/>
            <w:vAlign w:val="center"/>
          </w:tcPr>
          <w:p w14:paraId="4B60FE35">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3</w:t>
            </w:r>
          </w:p>
        </w:tc>
        <w:tc>
          <w:tcPr>
            <w:tcW w:w="2406" w:type="pct"/>
            <w:vAlign w:val="center"/>
          </w:tcPr>
          <w:p w14:paraId="630509C0">
            <w:pPr>
              <w:ind w:firstLine="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2、培训计划落实情况，少一次扣【1】分/次。</w:t>
            </w:r>
          </w:p>
        </w:tc>
      </w:tr>
      <w:tr w14:paraId="35A1A6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 w:type="pct"/>
            <w:vAlign w:val="center"/>
          </w:tcPr>
          <w:p w14:paraId="5461276F">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6</w:t>
            </w:r>
          </w:p>
        </w:tc>
        <w:tc>
          <w:tcPr>
            <w:tcW w:w="563" w:type="pct"/>
            <w:gridSpan w:val="2"/>
            <w:vAlign w:val="center"/>
          </w:tcPr>
          <w:p w14:paraId="2E329D33">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配套设备运维服务</w:t>
            </w:r>
          </w:p>
        </w:tc>
        <w:tc>
          <w:tcPr>
            <w:tcW w:w="1228" w:type="pct"/>
            <w:vAlign w:val="center"/>
          </w:tcPr>
          <w:p w14:paraId="66C57921">
            <w:pPr>
              <w:ind w:firstLine="0"/>
              <w:rPr>
                <w:rFonts w:hint="eastAsia" w:ascii="仿宋" w:hAnsi="仿宋" w:eastAsia="仿宋" w:cs="仿宋"/>
                <w:color w:val="auto"/>
                <w:szCs w:val="21"/>
                <w:highlight w:val="none"/>
              </w:rPr>
            </w:pPr>
            <w:r>
              <w:rPr>
                <w:rFonts w:hint="eastAsia" w:ascii="仿宋" w:hAnsi="仿宋" w:eastAsia="仿宋" w:cs="仿宋"/>
                <w:color w:val="auto"/>
                <w:szCs w:val="21"/>
                <w:highlight w:val="none"/>
              </w:rPr>
              <w:t>依据服务采购合同，服务商对信息系统配套设备提供的运维服务完成情况进行评价。</w:t>
            </w:r>
          </w:p>
        </w:tc>
        <w:tc>
          <w:tcPr>
            <w:tcW w:w="272" w:type="pct"/>
            <w:vAlign w:val="center"/>
          </w:tcPr>
          <w:p w14:paraId="40C4CB64">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3</w:t>
            </w:r>
          </w:p>
        </w:tc>
        <w:tc>
          <w:tcPr>
            <w:tcW w:w="282" w:type="pct"/>
            <w:vAlign w:val="center"/>
          </w:tcPr>
          <w:p w14:paraId="58BBA474">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3</w:t>
            </w:r>
          </w:p>
        </w:tc>
        <w:tc>
          <w:tcPr>
            <w:tcW w:w="2406" w:type="pct"/>
            <w:vAlign w:val="center"/>
          </w:tcPr>
          <w:p w14:paraId="31A0C9E9">
            <w:pPr>
              <w:pStyle w:val="14"/>
              <w:numPr>
                <w:ilvl w:val="0"/>
                <w:numId w:val="1"/>
              </w:numPr>
              <w:ind w:left="0" w:firstLine="0" w:firstLineChars="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服务商是否依据服务采购合同对信息系统配套设备提供的运维服务，且工作记录完整。</w:t>
            </w:r>
          </w:p>
          <w:p w14:paraId="006ECC56">
            <w:pPr>
              <w:pStyle w:val="14"/>
              <w:numPr>
                <w:ilvl w:val="0"/>
                <w:numId w:val="1"/>
              </w:numPr>
              <w:ind w:left="0" w:firstLine="0" w:firstLineChars="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服务期内设备无重大故障。</w:t>
            </w:r>
          </w:p>
        </w:tc>
      </w:tr>
      <w:tr w14:paraId="6F366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 w:type="pct"/>
            <w:vAlign w:val="center"/>
          </w:tcPr>
          <w:p w14:paraId="15890315">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7</w:t>
            </w:r>
          </w:p>
        </w:tc>
        <w:tc>
          <w:tcPr>
            <w:tcW w:w="563" w:type="pct"/>
            <w:gridSpan w:val="2"/>
            <w:vAlign w:val="center"/>
          </w:tcPr>
          <w:p w14:paraId="4447FE31">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服务满意度</w:t>
            </w:r>
          </w:p>
        </w:tc>
        <w:tc>
          <w:tcPr>
            <w:tcW w:w="1228" w:type="pct"/>
            <w:vAlign w:val="center"/>
          </w:tcPr>
          <w:p w14:paraId="18EF752B">
            <w:pPr>
              <w:ind w:firstLine="0"/>
              <w:rPr>
                <w:rFonts w:hint="eastAsia" w:ascii="仿宋" w:hAnsi="仿宋" w:eastAsia="仿宋" w:cs="仿宋"/>
                <w:color w:val="auto"/>
                <w:szCs w:val="21"/>
                <w:highlight w:val="none"/>
              </w:rPr>
            </w:pPr>
            <w:r>
              <w:rPr>
                <w:rFonts w:hint="eastAsia" w:ascii="仿宋" w:hAnsi="仿宋" w:eastAsia="仿宋" w:cs="仿宋"/>
                <w:color w:val="auto"/>
                <w:szCs w:val="21"/>
                <w:highlight w:val="none"/>
              </w:rPr>
              <w:t>依据采购人对服务商服务满意度调查表情况评价。</w:t>
            </w:r>
          </w:p>
        </w:tc>
        <w:tc>
          <w:tcPr>
            <w:tcW w:w="272" w:type="pct"/>
            <w:vAlign w:val="center"/>
          </w:tcPr>
          <w:p w14:paraId="356EC485">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5</w:t>
            </w:r>
          </w:p>
        </w:tc>
        <w:tc>
          <w:tcPr>
            <w:tcW w:w="282" w:type="pct"/>
            <w:vAlign w:val="center"/>
          </w:tcPr>
          <w:p w14:paraId="7575EA3F">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5</w:t>
            </w:r>
          </w:p>
        </w:tc>
        <w:tc>
          <w:tcPr>
            <w:tcW w:w="2406" w:type="pct"/>
            <w:vAlign w:val="center"/>
          </w:tcPr>
          <w:p w14:paraId="47A85B1D">
            <w:pPr>
              <w:pStyle w:val="14"/>
              <w:numPr>
                <w:ilvl w:val="0"/>
                <w:numId w:val="2"/>
              </w:numPr>
              <w:ind w:left="0" w:firstLine="0" w:firstLineChars="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服务满意度≥90%。</w:t>
            </w:r>
          </w:p>
          <w:p w14:paraId="20BC347D">
            <w:pPr>
              <w:pStyle w:val="14"/>
              <w:numPr>
                <w:ilvl w:val="0"/>
                <w:numId w:val="2"/>
              </w:numPr>
              <w:ind w:left="0" w:firstLine="0" w:firstLineChars="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服务期内无关于服务商工作人员服务质量相关的重大投诉案件。</w:t>
            </w:r>
          </w:p>
        </w:tc>
      </w:tr>
      <w:tr w14:paraId="221C1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 w:type="pct"/>
            <w:vAlign w:val="center"/>
          </w:tcPr>
          <w:p w14:paraId="15389C0F">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8</w:t>
            </w:r>
          </w:p>
        </w:tc>
        <w:tc>
          <w:tcPr>
            <w:tcW w:w="563" w:type="pct"/>
            <w:gridSpan w:val="2"/>
            <w:vAlign w:val="center"/>
          </w:tcPr>
          <w:p w14:paraId="37C79FAD">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项目管理评价</w:t>
            </w:r>
          </w:p>
        </w:tc>
        <w:tc>
          <w:tcPr>
            <w:tcW w:w="1228" w:type="pct"/>
            <w:vAlign w:val="center"/>
          </w:tcPr>
          <w:p w14:paraId="00457A7B">
            <w:pPr>
              <w:ind w:firstLine="0"/>
              <w:rPr>
                <w:rFonts w:hint="eastAsia" w:ascii="仿宋" w:hAnsi="仿宋" w:eastAsia="仿宋" w:cs="仿宋"/>
                <w:color w:val="auto"/>
                <w:szCs w:val="21"/>
                <w:highlight w:val="none"/>
              </w:rPr>
            </w:pPr>
            <w:r>
              <w:rPr>
                <w:rFonts w:hint="eastAsia" w:ascii="仿宋" w:hAnsi="仿宋" w:eastAsia="仿宋" w:cs="仿宋"/>
                <w:color w:val="auto"/>
                <w:szCs w:val="21"/>
                <w:highlight w:val="none"/>
              </w:rPr>
              <w:t>依据信息系统管理部门对服务商在服务期内项目管理工作评价表情况综合评价。</w:t>
            </w:r>
          </w:p>
        </w:tc>
        <w:tc>
          <w:tcPr>
            <w:tcW w:w="272" w:type="pct"/>
            <w:vAlign w:val="center"/>
          </w:tcPr>
          <w:p w14:paraId="047870DE">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3</w:t>
            </w:r>
          </w:p>
        </w:tc>
        <w:tc>
          <w:tcPr>
            <w:tcW w:w="282" w:type="pct"/>
            <w:vAlign w:val="center"/>
          </w:tcPr>
          <w:p w14:paraId="1B8EA043">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3</w:t>
            </w:r>
          </w:p>
        </w:tc>
        <w:tc>
          <w:tcPr>
            <w:tcW w:w="2406" w:type="pct"/>
            <w:vAlign w:val="center"/>
          </w:tcPr>
          <w:p w14:paraId="49A6E13F">
            <w:pPr>
              <w:ind w:firstLine="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信息系统管理部门根据服务商日常项目管理工作及协调能力评价达“合格”以上。</w:t>
            </w:r>
          </w:p>
        </w:tc>
      </w:tr>
      <w:tr w14:paraId="07D3D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246" w:type="pct"/>
            <w:vAlign w:val="center"/>
          </w:tcPr>
          <w:p w14:paraId="2B84A822">
            <w:pPr>
              <w:ind w:firstLine="0"/>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9</w:t>
            </w:r>
          </w:p>
        </w:tc>
        <w:tc>
          <w:tcPr>
            <w:tcW w:w="1791" w:type="pct"/>
            <w:gridSpan w:val="3"/>
            <w:vAlign w:val="center"/>
          </w:tcPr>
          <w:p w14:paraId="1B32FC4B">
            <w:pPr>
              <w:ind w:firstLine="0"/>
              <w:jc w:val="center"/>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合计</w:t>
            </w:r>
          </w:p>
        </w:tc>
        <w:tc>
          <w:tcPr>
            <w:tcW w:w="272" w:type="pct"/>
            <w:vAlign w:val="center"/>
          </w:tcPr>
          <w:p w14:paraId="0E0577DB">
            <w:pPr>
              <w:ind w:firstLine="0"/>
              <w:jc w:val="center"/>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fldChar w:fldCharType="begin"/>
            </w:r>
            <w:r>
              <w:rPr>
                <w:rFonts w:hint="eastAsia" w:ascii="仿宋" w:hAnsi="仿宋" w:eastAsia="仿宋" w:cs="仿宋"/>
                <w:b/>
                <w:color w:val="auto"/>
                <w:szCs w:val="21"/>
                <w:highlight w:val="none"/>
              </w:rPr>
              <w:instrText xml:space="preserve"> =SUM(ABOVE) </w:instrText>
            </w:r>
            <w:r>
              <w:rPr>
                <w:rFonts w:hint="eastAsia" w:ascii="仿宋" w:hAnsi="仿宋" w:eastAsia="仿宋" w:cs="仿宋"/>
                <w:b/>
                <w:color w:val="auto"/>
                <w:szCs w:val="21"/>
                <w:highlight w:val="none"/>
              </w:rPr>
              <w:fldChar w:fldCharType="separate"/>
            </w:r>
            <w:r>
              <w:rPr>
                <w:rFonts w:hint="eastAsia" w:ascii="仿宋" w:hAnsi="仿宋" w:eastAsia="仿宋" w:cs="仿宋"/>
                <w:b/>
                <w:color w:val="auto"/>
                <w:szCs w:val="21"/>
                <w:highlight w:val="none"/>
              </w:rPr>
              <w:t>100</w:t>
            </w:r>
            <w:r>
              <w:rPr>
                <w:rFonts w:hint="eastAsia" w:ascii="仿宋" w:hAnsi="仿宋" w:eastAsia="仿宋" w:cs="仿宋"/>
                <w:b/>
                <w:color w:val="auto"/>
                <w:szCs w:val="21"/>
                <w:highlight w:val="none"/>
              </w:rPr>
              <w:fldChar w:fldCharType="end"/>
            </w:r>
          </w:p>
        </w:tc>
        <w:tc>
          <w:tcPr>
            <w:tcW w:w="282" w:type="pct"/>
            <w:vAlign w:val="center"/>
          </w:tcPr>
          <w:p w14:paraId="02D3BF4A">
            <w:pPr>
              <w:ind w:firstLine="0"/>
              <w:jc w:val="center"/>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fldChar w:fldCharType="begin"/>
            </w:r>
            <w:r>
              <w:rPr>
                <w:rFonts w:hint="eastAsia" w:ascii="仿宋" w:hAnsi="仿宋" w:eastAsia="仿宋" w:cs="仿宋"/>
                <w:b/>
                <w:color w:val="auto"/>
                <w:szCs w:val="21"/>
                <w:highlight w:val="none"/>
              </w:rPr>
              <w:instrText xml:space="preserve"> =SUM(ABOVE) </w:instrText>
            </w:r>
            <w:r>
              <w:rPr>
                <w:rFonts w:hint="eastAsia" w:ascii="仿宋" w:hAnsi="仿宋" w:eastAsia="仿宋" w:cs="仿宋"/>
                <w:b/>
                <w:color w:val="auto"/>
                <w:szCs w:val="21"/>
                <w:highlight w:val="none"/>
              </w:rPr>
              <w:fldChar w:fldCharType="separate"/>
            </w:r>
            <w:r>
              <w:rPr>
                <w:rFonts w:hint="eastAsia" w:ascii="仿宋" w:hAnsi="仿宋" w:eastAsia="仿宋" w:cs="仿宋"/>
                <w:b/>
                <w:color w:val="auto"/>
                <w:szCs w:val="21"/>
                <w:highlight w:val="none"/>
              </w:rPr>
              <w:t>100</w:t>
            </w:r>
            <w:r>
              <w:rPr>
                <w:rFonts w:hint="eastAsia" w:ascii="仿宋" w:hAnsi="仿宋" w:eastAsia="仿宋" w:cs="仿宋"/>
                <w:b/>
                <w:color w:val="auto"/>
                <w:szCs w:val="21"/>
                <w:highlight w:val="none"/>
              </w:rPr>
              <w:fldChar w:fldCharType="end"/>
            </w:r>
          </w:p>
        </w:tc>
        <w:tc>
          <w:tcPr>
            <w:tcW w:w="2406" w:type="pct"/>
            <w:vAlign w:val="center"/>
          </w:tcPr>
          <w:p w14:paraId="105E2C3D">
            <w:pPr>
              <w:ind w:firstLine="0"/>
              <w:jc w:val="left"/>
              <w:rPr>
                <w:rFonts w:hint="eastAsia" w:ascii="仿宋" w:hAnsi="仿宋" w:eastAsia="仿宋" w:cs="仿宋"/>
                <w:color w:val="auto"/>
                <w:szCs w:val="21"/>
                <w:highlight w:val="none"/>
              </w:rPr>
            </w:pPr>
          </w:p>
        </w:tc>
      </w:tr>
    </w:tbl>
    <w:p w14:paraId="1F2139F7">
      <w:pPr>
        <w:adjustRightInd w:val="0"/>
        <w:snapToGrid w:val="0"/>
        <w:spacing w:line="360" w:lineRule="auto"/>
        <w:ind w:firstLine="0" w:firstLineChars="0"/>
        <w:rPr>
          <w:rFonts w:ascii="仿宋_GB2312" w:hAnsi="仿宋_GB2312" w:eastAsia="仿宋_GB2312" w:cs="仿宋_GB2312"/>
          <w:color w:val="auto"/>
          <w:sz w:val="24"/>
          <w:highlight w:val="none"/>
        </w:rPr>
      </w:pPr>
    </w:p>
    <w:p w14:paraId="58A00BF6">
      <w:pPr>
        <w:pStyle w:val="2"/>
        <w:rPr>
          <w:rFonts w:hint="default"/>
          <w:lang w:val="en-US" w:eastAsia="zh-CN"/>
        </w:rPr>
      </w:pPr>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41C3A7">
    <w:pPr>
      <w:pStyle w:val="6"/>
      <w:jc w:val="center"/>
      <w:rPr>
        <w:rFonts w:ascii="宋体"/>
        <w:sz w:val="21"/>
        <w:szCs w:val="21"/>
      </w:rPr>
    </w:pPr>
    <w:r>
      <w:rPr>
        <w:rFonts w:hint="eastAsia" w:ascii="宋体" w:hAnsi="宋体" w:cs="宋体"/>
        <w:kern w:val="0"/>
        <w:sz w:val="21"/>
        <w:szCs w:val="21"/>
      </w:rPr>
      <w:t>第</w:t>
    </w:r>
    <w:r>
      <w:rPr>
        <w:rFonts w:ascii="宋体" w:hAnsi="宋体" w:cs="宋体"/>
        <w:kern w:val="0"/>
        <w:sz w:val="21"/>
        <w:szCs w:val="21"/>
      </w:rPr>
      <w:t xml:space="preserve"> </w:t>
    </w:r>
    <w:r>
      <w:rPr>
        <w:rFonts w:ascii="宋体" w:hAnsi="宋体" w:cs="宋体"/>
        <w:kern w:val="0"/>
        <w:sz w:val="21"/>
        <w:szCs w:val="21"/>
      </w:rPr>
      <w:fldChar w:fldCharType="begin"/>
    </w:r>
    <w:r>
      <w:rPr>
        <w:rFonts w:ascii="宋体" w:hAnsi="宋体" w:cs="宋体"/>
        <w:kern w:val="0"/>
        <w:sz w:val="21"/>
        <w:szCs w:val="21"/>
      </w:rPr>
      <w:instrText xml:space="preserve"> PAGE </w:instrText>
    </w:r>
    <w:r>
      <w:rPr>
        <w:rFonts w:ascii="宋体" w:hAnsi="宋体" w:cs="宋体"/>
        <w:kern w:val="0"/>
        <w:sz w:val="21"/>
        <w:szCs w:val="21"/>
      </w:rPr>
      <w:fldChar w:fldCharType="separate"/>
    </w:r>
    <w:r>
      <w:rPr>
        <w:rFonts w:ascii="宋体" w:hAnsi="宋体" w:cs="宋体"/>
        <w:kern w:val="0"/>
        <w:sz w:val="21"/>
        <w:szCs w:val="21"/>
      </w:rPr>
      <w:t>68</w:t>
    </w:r>
    <w:r>
      <w:rPr>
        <w:rFonts w:ascii="宋体" w:hAnsi="宋体" w:cs="宋体"/>
        <w:kern w:val="0"/>
        <w:sz w:val="21"/>
        <w:szCs w:val="21"/>
      </w:rPr>
      <w:fldChar w:fldCharType="end"/>
    </w:r>
    <w:r>
      <w:rPr>
        <w:rFonts w:ascii="宋体" w:hAnsi="宋体" w:cs="宋体"/>
        <w:kern w:val="0"/>
        <w:sz w:val="21"/>
        <w:szCs w:val="21"/>
      </w:rPr>
      <w:t xml:space="preserve"> </w:t>
    </w:r>
    <w:r>
      <w:rPr>
        <w:rFonts w:hint="eastAsia" w:ascii="宋体" w:hAnsi="宋体" w:cs="宋体"/>
        <w:kern w:val="0"/>
        <w:sz w:val="21"/>
        <w:szCs w:val="21"/>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A72549"/>
    <w:multiLevelType w:val="multilevel"/>
    <w:tmpl w:val="38A7254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D0728EF"/>
    <w:multiLevelType w:val="multilevel"/>
    <w:tmpl w:val="5D0728E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BBE2DF7"/>
    <w:rsid w:val="522D0A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仿宋" w:hAnsi="仿宋" w:eastAsia="仿宋" w:cs="仿宋"/>
      <w:sz w:val="31"/>
      <w:szCs w:val="31"/>
      <w:lang w:eastAsia="en-US"/>
    </w:rPr>
  </w:style>
  <w:style w:type="paragraph" w:styleId="3">
    <w:name w:val="Normal Indent"/>
    <w:basedOn w:val="1"/>
    <w:next w:val="4"/>
    <w:qFormat/>
    <w:uiPriority w:val="99"/>
    <w:pPr>
      <w:ind w:firstLine="420"/>
    </w:pPr>
    <w:rPr>
      <w:szCs w:val="20"/>
    </w:rPr>
  </w:style>
  <w:style w:type="paragraph" w:styleId="4">
    <w:name w:val="toc 4"/>
    <w:basedOn w:val="1"/>
    <w:next w:val="1"/>
    <w:unhideWhenUsed/>
    <w:qFormat/>
    <w:uiPriority w:val="31"/>
    <w:pPr>
      <w:ind w:left="1275"/>
    </w:pPr>
    <w:rPr>
      <w:rFonts w:ascii="Calibri" w:hAnsi="Calibri"/>
      <w:szCs w:val="21"/>
    </w:rPr>
  </w:style>
  <w:style w:type="paragraph" w:styleId="5">
    <w:name w:val="Body Text Indent"/>
    <w:basedOn w:val="1"/>
    <w:next w:val="1"/>
    <w:qFormat/>
    <w:uiPriority w:val="0"/>
    <w:pPr>
      <w:tabs>
        <w:tab w:val="left" w:pos="8640"/>
      </w:tabs>
      <w:ind w:firstLine="420"/>
    </w:pPr>
    <w:rPr>
      <w:rFonts w:ascii="楷体_GB2312" w:eastAsia="楷体_GB2312"/>
      <w:color w:val="000000"/>
      <w:sz w:val="28"/>
    </w:rPr>
  </w:style>
  <w:style w:type="paragraph" w:styleId="6">
    <w:name w:val="footer"/>
    <w:basedOn w:val="1"/>
    <w:next w:val="1"/>
    <w:qFormat/>
    <w:uiPriority w:val="99"/>
    <w:pPr>
      <w:tabs>
        <w:tab w:val="center" w:pos="4153"/>
        <w:tab w:val="right" w:pos="8306"/>
      </w:tabs>
      <w:snapToGrid w:val="0"/>
      <w:jc w:val="left"/>
    </w:pPr>
    <w:rPr>
      <w:sz w:val="18"/>
      <w:szCs w:val="18"/>
    </w:rPr>
  </w:style>
  <w:style w:type="paragraph" w:styleId="7">
    <w:name w:val="Body Text First Indent"/>
    <w:basedOn w:val="2"/>
    <w:unhideWhenUsed/>
    <w:qFormat/>
    <w:uiPriority w:val="0"/>
    <w:pPr>
      <w:ind w:firstLine="420" w:firstLineChars="100"/>
    </w:pPr>
    <w:rPr>
      <w:rFonts w:ascii="Calibri" w:hAnsi="Calibri"/>
      <w:sz w:val="18"/>
      <w:szCs w:val="18"/>
    </w:rPr>
  </w:style>
  <w:style w:type="paragraph" w:styleId="8">
    <w:name w:val="Body Text First Indent 2"/>
    <w:basedOn w:val="5"/>
    <w:next w:val="1"/>
    <w:qFormat/>
    <w:uiPriority w:val="0"/>
    <w:pPr>
      <w:ind w:firstLine="200" w:firstLineChars="200"/>
    </w:p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_Style 2"/>
    <w:basedOn w:val="1"/>
    <w:qFormat/>
    <w:uiPriority w:val="99"/>
    <w:pPr>
      <w:ind w:firstLine="420" w:firstLineChars="200"/>
    </w:pPr>
    <w:rPr>
      <w:szCs w:val="24"/>
    </w:rPr>
  </w:style>
  <w:style w:type="paragraph" w:customStyle="1" w:styleId="13">
    <w:name w:val="列出段落1"/>
    <w:basedOn w:val="1"/>
    <w:qFormat/>
    <w:uiPriority w:val="34"/>
    <w:pPr>
      <w:ind w:firstLine="420" w:firstLineChars="200"/>
    </w:pPr>
  </w:style>
  <w:style w:type="paragraph" w:styleId="14">
    <w:name w:val="List Paragraph"/>
    <w:basedOn w:val="1"/>
    <w:qFormat/>
    <w:uiPriority w:val="34"/>
    <w:pPr>
      <w:ind w:firstLine="420" w:firstLineChars="200"/>
    </w:pPr>
  </w:style>
  <w:style w:type="paragraph" w:customStyle="1" w:styleId="15">
    <w:name w:val="null3"/>
    <w:qFormat/>
    <w:uiPriority w:val="0"/>
    <w:rPr>
      <w:rFonts w:hint="eastAsia" w:ascii="Calibri" w:hAnsi="Calibri" w:eastAsia="宋体" w:cs="Times New Roman"/>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5291</Words>
  <Characters>5387</Characters>
  <Lines>0</Lines>
  <Paragraphs>0</Paragraphs>
  <TotalTime>0</TotalTime>
  <ScaleCrop>false</ScaleCrop>
  <LinksUpToDate>false</LinksUpToDate>
  <CharactersWithSpaces>5620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2025-06-13T09:15:00Z</dcterms:created>
  <dc:creator>DELL</dc:creator>
  <cp:lastModifiedBy>To  encounter</cp:lastModifiedBy>
  <dcterms:modified xsi:type="dcterms:W3CDTF">2025-06-13T09:48:05Z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eyJoZGlkIjoiNmJkNmEwODUxZTlhY2U2ZTM0OTI0ZDY1ZmQzYTAyZjYiLCJ1c2VySWQiOiIxMTk3NzI3MDgzIn0=</vt:lpwstr>
  </property>
  <property fmtid="{D5CDD505-2E9C-101B-9397-08002B2CF9AE}" pid="4" name="ICV">
    <vt:lpwstr>2A7B3C8737ED4C52AF842FA872DEABAC_12</vt:lpwstr>
  </property>
</Properties>
</file>