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版本号：DRZB2025-ZC-13020250613001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医院HIS系统售后运维服务采购项目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DRZB2025-ZC-130</w:t>
      </w:r>
      <w:r>
        <w:br/>
      </w:r>
      <w:r>
        <w:br/>
      </w:r>
      <w:r>
        <w:br/>
      </w:r>
    </w:p>
    <w:p>
      <w:pPr>
        <w:pStyle w:val="null3"/>
        <w:jc w:val="center"/>
        <w:outlineLvl w:val="5"/>
      </w:pPr>
      <w:r>
        <w:rPr>
          <w:rFonts w:ascii="仿宋_GB2312" w:hAnsi="仿宋_GB2312" w:cs="仿宋_GB2312" w:eastAsia="仿宋_GB2312"/>
          <w:sz w:val="15"/>
          <w:b/>
        </w:rPr>
        <w:t>陕西省交通医院</w:t>
      </w:r>
    </w:p>
    <w:p>
      <w:pPr>
        <w:pStyle w:val="null3"/>
        <w:jc w:val="center"/>
        <w:outlineLvl w:val="5"/>
      </w:pPr>
      <w:r>
        <w:rPr>
          <w:rFonts w:ascii="仿宋_GB2312" w:hAnsi="仿宋_GB2312" w:cs="仿宋_GB2312" w:eastAsia="仿宋_GB2312"/>
          <w:sz w:val="15"/>
          <w:b/>
        </w:rPr>
        <w:t>陕西德仁招标有限公司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医院HIS系统售后运维服务采购项目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DRZB2025-ZC-130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医院HIS系统售后运维服务采购项目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医院HIS系统售后运维服务采购项目，具体内容详见采购文件及服务要求。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或本单位劳动合同复印件）；</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10、非联合体协商：本项目不接受联合体协商。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师宏钟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029-88496852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采购包1保证金金额：15,130.00元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之前，向采购代理机构一次付清招标代理服务费。中标金额在100万元以内的按照国家计委关于印发《招标代理服务收费管理暂行办法的通知》（计价格[ 2002]1980号）的收费标准收取；中标金额100万元及以上的按照国家计委关于印发《招标代理服务收费管理暂行办法的通知》（计价格[ 2002]1980号）的收费标准下浮20%。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医院HIS系统售后运维服务采购项目，具体内容详见采购文件及服务要求。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中联医院信息系统（HIS）售后服务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接口开发服务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标的名称：中联医院信息系统（HIS）售后服务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915"/>
            </w:pPr>
            <w:r>
              <w:rPr>
                <w:rFonts w:ascii="仿宋_GB2312" w:hAnsi="仿宋_GB2312" w:cs="仿宋_GB2312" w:eastAsia="仿宋_GB2312"/>
                <w:sz w:val="18"/>
                <w:b/>
              </w:rPr>
              <w:t>一、项目概述</w:t>
            </w:r>
          </w:p>
          <w:p>
            <w:pPr>
              <w:pStyle w:val="null3"/>
              <w:ind w:firstLine="400"/>
              <w:jc w:val="both"/>
            </w:pPr>
            <w:r>
              <w:rPr>
                <w:rFonts w:ascii="仿宋_GB2312" w:hAnsi="仿宋_GB2312" w:cs="仿宋_GB2312" w:eastAsia="仿宋_GB2312"/>
                <w:sz w:val="18"/>
              </w:rPr>
              <w:t>采购人自2011年开始启用中联医院信息系统，至今已上线运行多个子系统，包含HIS、CIS、LIS、PACS、EMR、HQMS等信息系统，为保障采购人信息系统正常运行，维护正常的医疗秩序，确保采购人各信息系统数据共享，充分保障患者的医疗权益，现委托具有信息系统维护能力供应商，为采购人进行维护工作，进一步加强医院信息系统维护管理与技术支持。</w:t>
            </w:r>
          </w:p>
          <w:p>
            <w:pPr>
              <w:pStyle w:val="null3"/>
              <w:ind w:left="915"/>
            </w:pPr>
            <w:r>
              <w:rPr>
                <w:rFonts w:ascii="仿宋_GB2312" w:hAnsi="仿宋_GB2312" w:cs="仿宋_GB2312" w:eastAsia="仿宋_GB2312"/>
                <w:sz w:val="18"/>
                <w:b/>
              </w:rPr>
              <w:t>二、技术要求</w:t>
            </w:r>
          </w:p>
          <w:p>
            <w:pPr>
              <w:pStyle w:val="null3"/>
              <w:ind w:firstLine="402"/>
              <w:jc w:val="both"/>
            </w:pPr>
            <w:r>
              <w:rPr>
                <w:rFonts w:ascii="仿宋_GB2312" w:hAnsi="仿宋_GB2312" w:cs="仿宋_GB2312" w:eastAsia="仿宋_GB2312"/>
                <w:sz w:val="18"/>
                <w:b/>
              </w:rPr>
              <w:t>1.名词解释：</w:t>
            </w:r>
          </w:p>
          <w:p>
            <w:pPr>
              <w:pStyle w:val="null3"/>
              <w:ind w:firstLine="400"/>
              <w:jc w:val="both"/>
            </w:pPr>
            <w:r>
              <w:rPr>
                <w:rFonts w:ascii="仿宋_GB2312" w:hAnsi="仿宋_GB2312" w:cs="仿宋_GB2312" w:eastAsia="仿宋_GB2312"/>
                <w:sz w:val="18"/>
              </w:rPr>
              <w:t>1.1.“维护”是指服务供应商为采购人提供基于许可软件的技术指导和解决产品故障等服务工作的总称。</w:t>
            </w:r>
          </w:p>
          <w:p>
            <w:pPr>
              <w:pStyle w:val="null3"/>
              <w:ind w:firstLine="400"/>
              <w:jc w:val="both"/>
            </w:pPr>
            <w:r>
              <w:rPr>
                <w:rFonts w:ascii="仿宋_GB2312" w:hAnsi="仿宋_GB2312" w:cs="仿宋_GB2312" w:eastAsia="仿宋_GB2312"/>
                <w:sz w:val="18"/>
              </w:rPr>
              <w:t>1.2.“现场”是指供应商根据许可合同许可采购人使用许可系统的场所。</w:t>
            </w:r>
          </w:p>
          <w:p>
            <w:pPr>
              <w:pStyle w:val="null3"/>
              <w:ind w:firstLine="400"/>
              <w:jc w:val="both"/>
            </w:pPr>
            <w:r>
              <w:rPr>
                <w:rFonts w:ascii="仿宋_GB2312" w:hAnsi="仿宋_GB2312" w:cs="仿宋_GB2312" w:eastAsia="仿宋_GB2312"/>
                <w:sz w:val="18"/>
              </w:rPr>
              <w:t>1.3.“现场维护”是指服务供应商采购方提出 的技术问题派遣技术人员到采购方现场处解决问题的过程。</w:t>
            </w:r>
          </w:p>
          <w:p>
            <w:pPr>
              <w:pStyle w:val="null3"/>
              <w:ind w:firstLine="400"/>
              <w:jc w:val="both"/>
            </w:pPr>
            <w:r>
              <w:rPr>
                <w:rFonts w:ascii="仿宋_GB2312" w:hAnsi="仿宋_GB2312" w:cs="仿宋_GB2312" w:eastAsia="仿宋_GB2312"/>
                <w:sz w:val="18"/>
              </w:rPr>
              <w:t>1.4.“远程维护”是指服务供应商根据采购方提出的技术问题通过电话或互联网向采购方提供问题解答、技术指导和远程操作的过程。</w:t>
            </w:r>
          </w:p>
          <w:p>
            <w:pPr>
              <w:pStyle w:val="null3"/>
              <w:ind w:firstLine="400"/>
              <w:jc w:val="both"/>
            </w:pPr>
            <w:r>
              <w:rPr>
                <w:rFonts w:ascii="仿宋_GB2312" w:hAnsi="仿宋_GB2312" w:cs="仿宋_GB2312" w:eastAsia="仿宋_GB2312"/>
                <w:sz w:val="18"/>
              </w:rPr>
              <w:t>1.5.“软件更新”是指由于许可软件出现故障而对许可软件进行优化、换代的过程。</w:t>
            </w:r>
          </w:p>
          <w:p>
            <w:pPr>
              <w:pStyle w:val="null3"/>
              <w:ind w:firstLine="400"/>
              <w:jc w:val="both"/>
            </w:pPr>
            <w:r>
              <w:rPr>
                <w:rFonts w:ascii="仿宋_GB2312" w:hAnsi="仿宋_GB2312" w:cs="仿宋_GB2312" w:eastAsia="仿宋_GB2312"/>
                <w:sz w:val="18"/>
              </w:rPr>
              <w:t>1.6.“技术支持”是指服务供应商为了保障许可软件和系统正常运行，在服务时间内通过电话、互联网等技术向采购方提供的援助或技术指导。</w:t>
            </w:r>
          </w:p>
          <w:p>
            <w:pPr>
              <w:pStyle w:val="null3"/>
              <w:ind w:firstLine="400"/>
              <w:jc w:val="both"/>
            </w:pPr>
            <w:r>
              <w:rPr>
                <w:rFonts w:ascii="仿宋_GB2312" w:hAnsi="仿宋_GB2312" w:cs="仿宋_GB2312" w:eastAsia="仿宋_GB2312"/>
                <w:sz w:val="18"/>
              </w:rPr>
              <w:t>1.7.“热线支持”是指服务供应商客户服务中心服务 人员通过电话向采购方提供技术问题解答的过程。</w:t>
            </w:r>
          </w:p>
          <w:p>
            <w:pPr>
              <w:pStyle w:val="null3"/>
              <w:ind w:firstLine="400"/>
              <w:jc w:val="both"/>
            </w:pPr>
            <w:r>
              <w:rPr>
                <w:rFonts w:ascii="仿宋_GB2312" w:hAnsi="仿宋_GB2312" w:cs="仿宋_GB2312" w:eastAsia="仿宋_GB2312"/>
                <w:sz w:val="18"/>
              </w:rPr>
              <w:t>1.8.“网上技术支持”是指服务供应商客户服务中心通过在线支持系统接收、解答采购方问题，并在网上发面相关技术解决问答的过程。</w:t>
            </w:r>
          </w:p>
          <w:p>
            <w:pPr>
              <w:pStyle w:val="null3"/>
              <w:ind w:firstLine="400"/>
              <w:jc w:val="both"/>
            </w:pPr>
            <w:r>
              <w:rPr>
                <w:rFonts w:ascii="仿宋_GB2312" w:hAnsi="仿宋_GB2312" w:cs="仿宋_GB2312" w:eastAsia="仿宋_GB2312"/>
                <w:sz w:val="18"/>
              </w:rPr>
              <w:t>1.9.“响应时间”是指服务供应商接到采购方服务请求之后，到与采购方进行沟通并对采购方做出服务承诺的时间。</w:t>
            </w:r>
          </w:p>
          <w:p>
            <w:pPr>
              <w:pStyle w:val="null3"/>
              <w:ind w:firstLine="402"/>
              <w:jc w:val="both"/>
            </w:pPr>
            <w:r>
              <w:rPr>
                <w:rFonts w:ascii="仿宋_GB2312" w:hAnsi="仿宋_GB2312" w:cs="仿宋_GB2312" w:eastAsia="仿宋_GB2312"/>
                <w:sz w:val="18"/>
                <w:b/>
              </w:rPr>
              <w:t>2.甲方委托乙方售后运维服务的信息系统模块：</w:t>
            </w:r>
          </w:p>
          <w:tbl>
            <w:tblPr>
              <w:tblInd w:type="dxa" w:w="120"/>
              <w:tblBorders>
                <w:top w:val="none" w:color="000000" w:sz="4"/>
                <w:left w:val="none" w:color="000000" w:sz="4"/>
                <w:bottom w:val="none" w:color="000000" w:sz="4"/>
                <w:right w:val="none" w:color="000000" w:sz="4"/>
                <w:insideH w:val="none"/>
                <w:insideV w:val="none"/>
              </w:tblBorders>
            </w:tblPr>
            <w:tblGrid>
              <w:gridCol w:w="703"/>
              <w:gridCol w:w="1850"/>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陕西省交通医院中联医院信息系统汇总表</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信息系统名称</w:t>
                  </w:r>
                </w:p>
              </w:tc>
              <w:tc>
                <w:tcPr>
                  <w:tcW w:type="dxa" w:w="1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子系统名称</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医院基础信息系统</w:t>
                  </w:r>
                </w:p>
                <w:p>
                  <w:pPr>
                    <w:pStyle w:val="null3"/>
                    <w:jc w:val="center"/>
                  </w:pPr>
                  <w:r>
                    <w:rPr>
                      <w:rFonts w:ascii="仿宋_GB2312" w:hAnsi="仿宋_GB2312" w:cs="仿宋_GB2312" w:eastAsia="仿宋_GB2312"/>
                      <w:sz w:val="18"/>
                    </w:rPr>
                    <w:t>（HIS）</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门急诊挂号系统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门急诊收费系统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住院费用管理系统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门诊中西医药房管理系统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住院药房管理系统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住院病人入出转管理系统</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临床信息系统</w:t>
                  </w:r>
                  <w:r>
                    <w:br/>
                  </w:r>
                  <w:r>
                    <w:rPr>
                      <w:rFonts w:ascii="仿宋_GB2312" w:hAnsi="仿宋_GB2312" w:cs="仿宋_GB2312" w:eastAsia="仿宋_GB2312"/>
                      <w:sz w:val="18"/>
                    </w:rPr>
                    <w:t>（CIS）</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门急诊医生工作站</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住院医生工作站</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病区护士工作站</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新版电子病历系统</w:t>
                  </w:r>
                  <w:r>
                    <w:br/>
                  </w:r>
                  <w:r>
                    <w:rPr>
                      <w:rFonts w:ascii="仿宋_GB2312" w:hAnsi="仿宋_GB2312" w:cs="仿宋_GB2312" w:eastAsia="仿宋_GB2312"/>
                      <w:sz w:val="18"/>
                    </w:rPr>
                    <w:t>（EMR）</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一体化门急诊电子病历系统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一体化住院电子病历系统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一体化电子病历质控系统</w:t>
                  </w:r>
                </w:p>
              </w:tc>
            </w:tr>
            <w:tr>
              <w:tc>
                <w:tcPr>
                  <w:tcW w:type="dxa" w:w="7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检验信息系统</w:t>
                  </w:r>
                  <w:r>
                    <w:br/>
                  </w:r>
                  <w:r>
                    <w:rPr>
                      <w:rFonts w:ascii="仿宋_GB2312" w:hAnsi="仿宋_GB2312" w:cs="仿宋_GB2312" w:eastAsia="仿宋_GB2312"/>
                      <w:sz w:val="18"/>
                    </w:rPr>
                    <w:t>（LIS）</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新检验信息系统</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检查设备接口系统</w:t>
                  </w:r>
                </w:p>
              </w:tc>
            </w:tr>
            <w:tr>
              <w:tc>
                <w:tcPr>
                  <w:tcW w:type="dxa" w:w="7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医学影像系统</w:t>
                  </w:r>
                </w:p>
                <w:p>
                  <w:pPr>
                    <w:pStyle w:val="null3"/>
                    <w:jc w:val="center"/>
                  </w:pPr>
                  <w:r>
                    <w:rPr>
                      <w:rFonts w:ascii="仿宋_GB2312" w:hAnsi="仿宋_GB2312" w:cs="仿宋_GB2312" w:eastAsia="仿宋_GB2312"/>
                      <w:sz w:val="18"/>
                    </w:rPr>
                    <w:t>（PACS）</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医技观片工作站</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临床影像浏览标准版</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放射信息系统标准版</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超声信息系统标准版</w:t>
                  </w:r>
                </w:p>
              </w:tc>
            </w:tr>
            <w:tr>
              <w:tc>
                <w:tcPr>
                  <w:tcW w:type="dxa" w:w="7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临床路径管理系统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路径设计</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病种管理</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路径表单审核管理</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医技管理系统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医技执行管理系统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手术安排与费用管理系统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血库管理系统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体检管理系统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病理管理系统</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运营管理系统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药库管理与药品会计系统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财务票据管理系统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财务监控系统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设备管理系统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后勤物资管理系统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卫生材料管理系统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供应室管理系统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综合查询与统计报表</w:t>
                  </w:r>
                </w:p>
              </w:tc>
            </w:tr>
            <w:tr>
              <w:tc>
                <w:tcPr>
                  <w:tcW w:type="dxa" w:w="7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疾病监测上报系统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食性性疾病监测系统</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传染性疾病监测系统</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慢性病监测系统</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死亡病例监测系统</w:t>
                  </w:r>
                </w:p>
              </w:tc>
            </w:tr>
            <w:tr>
              <w:tc>
                <w:tcPr>
                  <w:tcW w:type="dxa" w:w="7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医疗辅助系统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治疗系统</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检查系统</w:t>
                  </w:r>
                </w:p>
              </w:tc>
            </w:tr>
            <w:tr>
              <w:tc>
                <w:tcPr>
                  <w:tcW w:type="dxa" w:w="70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医疗管理系统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病案管理系统</w:t>
                  </w:r>
                </w:p>
              </w:tc>
            </w:tr>
            <w:tr>
              <w:tc>
                <w:tcPr>
                  <w:tcW w:type="dxa" w:w="703"/>
                  <w:vMerge/>
                  <w:tcBorders>
                    <w:top w:val="none" w:color="000000" w:sz="4"/>
                    <w:left w:val="single" w:color="000000" w:sz="4"/>
                    <w:bottom w:val="non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电子病历质控系统</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患者服务系统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一卡通管理系统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病人自助服务系统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自助挂号系统</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自助报告打印系统</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外部接口系统</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医保结算与数据上传接口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临床药学管理系统接口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健康体检系统接口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手术麻醉系统接口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电生理系统接口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单病种管理系统接口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财务管理系统接口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院感管理系统接口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排队叫号系统接口</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医保药品追溯系统接口（新增）</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传染病监测预警系统接口（新增）</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食源性疾病监测系统接口（新增）</w:t>
                  </w:r>
                </w:p>
              </w:tc>
            </w:tr>
            <w:tr>
              <w:tc>
                <w:tcPr>
                  <w:tcW w:type="dxa" w:w="7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系统管理工具</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数据处理平台</w:t>
                  </w:r>
                </w:p>
              </w:tc>
            </w:tr>
            <w:tr>
              <w:tc>
                <w:tcPr>
                  <w:tcW w:type="dxa" w:w="703"/>
                  <w:vMerge/>
                  <w:tcBorders>
                    <w:top w:val="none" w:color="000000" w:sz="4"/>
                    <w:left w:val="single" w:color="000000" w:sz="4"/>
                    <w:bottom w:val="single" w:color="000000" w:sz="4"/>
                    <w:right w:val="single" w:color="000000" w:sz="4"/>
                  </w:tcBorders>
                </w:tcP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自定义报表系统</w:t>
                  </w:r>
                </w:p>
              </w:tc>
            </w:tr>
          </w:tbl>
          <w:p>
            <w:pPr>
              <w:pStyle w:val="null3"/>
              <w:jc w:val="both"/>
            </w:pPr>
            <w:r>
              <w:rPr>
                <w:rFonts w:ascii="仿宋_GB2312" w:hAnsi="仿宋_GB2312" w:cs="仿宋_GB2312" w:eastAsia="仿宋_GB2312"/>
                <w:sz w:val="18"/>
                <w:b/>
              </w:rPr>
              <w:t>3.医院故障分级标准及响应时间要求</w:t>
            </w:r>
          </w:p>
          <w:tbl>
            <w:tblPr>
              <w:tblInd w:type="dxa" w:w="120"/>
              <w:tblBorders>
                <w:top w:val="none" w:color="000000" w:sz="4"/>
                <w:left w:val="none" w:color="000000" w:sz="4"/>
                <w:bottom w:val="none" w:color="000000" w:sz="4"/>
                <w:right w:val="none" w:color="000000" w:sz="4"/>
                <w:insideH w:val="none"/>
                <w:insideV w:val="none"/>
              </w:tblBorders>
            </w:tblPr>
            <w:tblGrid>
              <w:gridCol w:w="218"/>
              <w:gridCol w:w="392"/>
              <w:gridCol w:w="1089"/>
              <w:gridCol w:w="853"/>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故障等级</w:t>
                  </w:r>
                </w:p>
              </w:tc>
              <w:tc>
                <w:tcPr>
                  <w:tcW w:type="dxa" w:w="10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故障情况描述</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响应时间要求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一级故障</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信息系统瘫痪，或出现多部门终端用户的业务无法办理，严重影响医院业务正常运作。</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服务商应在10分钟内响应，1小时内到达现场，6小时内解决问题，或提供相应解决方案直至系统恢复正常。</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二级故障</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信息系统的操作性能严重降级，或由于系统性能失常严重影响用户的业务动作。</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服务商应在30分钟内响应，2小时内到达现场或远程维护，12小时内解决问题，或提供相应解决方案直至系统恢复正常。</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三级故障</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信息系统部分功能受损，影响较少患者正常就诊，医院主要业务正常工作。</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服务商应在30分钟内响应，4小时内到达现场或远程维护，24小时内解决问题。</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四级故障</w:t>
                  </w:r>
                </w:p>
              </w:tc>
              <w:tc>
                <w:tcPr>
                  <w:tcW w:type="dxa" w:w="10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信息系统出现一般性问题，对患者与系统运行几乎或无影响。</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服务商应在30分钟内响应，8小时内到达现场或远程维护，48小时内解决问题。</w:t>
                  </w:r>
                </w:p>
              </w:tc>
            </w:tr>
          </w:tbl>
          <w:p>
            <w:pPr>
              <w:pStyle w:val="null3"/>
              <w:ind w:firstLine="402"/>
              <w:jc w:val="both"/>
            </w:pPr>
            <w:r>
              <w:rPr>
                <w:rFonts w:ascii="仿宋_GB2312" w:hAnsi="仿宋_GB2312" w:cs="仿宋_GB2312" w:eastAsia="仿宋_GB2312"/>
                <w:sz w:val="18"/>
                <w:b/>
              </w:rPr>
              <w:t>4.服务要求：</w:t>
            </w:r>
          </w:p>
          <w:p>
            <w:pPr>
              <w:pStyle w:val="null3"/>
              <w:ind w:firstLine="442"/>
              <w:jc w:val="both"/>
            </w:pPr>
            <w:r>
              <w:rPr>
                <w:rFonts w:ascii="仿宋_GB2312" w:hAnsi="仿宋_GB2312" w:cs="仿宋_GB2312" w:eastAsia="仿宋_GB2312"/>
                <w:sz w:val="18"/>
                <w:b/>
              </w:rPr>
              <w:t xml:space="preserve">4.1 </w:t>
            </w:r>
            <w:r>
              <w:rPr>
                <w:rFonts w:ascii="仿宋_GB2312" w:hAnsi="仿宋_GB2312" w:cs="仿宋_GB2312" w:eastAsia="仿宋_GB2312"/>
                <w:sz w:val="18"/>
                <w:b/>
              </w:rPr>
              <w:t>医院信息系统售后服务要求</w:t>
            </w:r>
          </w:p>
          <w:p>
            <w:pPr>
              <w:pStyle w:val="null3"/>
              <w:ind w:firstLine="440"/>
              <w:jc w:val="both"/>
            </w:pPr>
            <w:r>
              <w:rPr>
                <w:rFonts w:ascii="仿宋_GB2312" w:hAnsi="仿宋_GB2312" w:cs="仿宋_GB2312" w:eastAsia="仿宋_GB2312"/>
                <w:sz w:val="18"/>
              </w:rPr>
              <w:t>服务商根据以下要求内容提供售后运维服务，但不仅限于以下服务，可依据自身技术能力提供增项服务。</w:t>
            </w:r>
          </w:p>
          <w:tbl>
            <w:tblPr>
              <w:tblInd w:type="dxa" w:w="120"/>
              <w:tblBorders>
                <w:top w:val="none" w:color="000000" w:sz="4"/>
                <w:left w:val="none" w:color="000000" w:sz="4"/>
                <w:bottom w:val="none" w:color="000000" w:sz="4"/>
                <w:right w:val="none" w:color="000000" w:sz="4"/>
                <w:insideH w:val="none"/>
                <w:insideV w:val="none"/>
              </w:tblBorders>
            </w:tblPr>
            <w:tblGrid>
              <w:gridCol w:w="231"/>
              <w:gridCol w:w="297"/>
              <w:gridCol w:w="1265"/>
              <w:gridCol w:w="456"/>
              <w:gridCol w:w="291"/>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服务项目</w:t>
                  </w:r>
                </w:p>
              </w:tc>
              <w:tc>
                <w:tcPr>
                  <w:tcW w:type="dxa" w:w="1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服务内涵</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服务方式</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服务次数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中联信息系统</w:t>
                  </w:r>
                </w:p>
                <w:p>
                  <w:pPr>
                    <w:pStyle w:val="null3"/>
                    <w:jc w:val="center"/>
                  </w:pPr>
                  <w:r>
                    <w:rPr>
                      <w:rFonts w:ascii="仿宋_GB2312" w:hAnsi="仿宋_GB2312" w:cs="仿宋_GB2312" w:eastAsia="仿宋_GB2312"/>
                      <w:sz w:val="18"/>
                    </w:rPr>
                    <w:t>运维服务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1、《陕西省交通医院中联医院信息系统汇总表》中信息系统的软件操作、排错技术操作指导管理；</w:t>
                  </w:r>
                </w:p>
                <w:p>
                  <w:pPr>
                    <w:pStyle w:val="null3"/>
                    <w:jc w:val="both"/>
                  </w:pPr>
                  <w:r>
                    <w:rPr>
                      <w:rFonts w:ascii="仿宋_GB2312" w:hAnsi="仿宋_GB2312" w:cs="仿宋_GB2312" w:eastAsia="仿宋_GB2312"/>
                      <w:sz w:val="18"/>
                    </w:rPr>
                    <w:t>2、由于软件产品故障导致的死机、数据错误；</w:t>
                  </w:r>
                </w:p>
                <w:p>
                  <w:pPr>
                    <w:pStyle w:val="null3"/>
                    <w:jc w:val="both"/>
                  </w:pPr>
                  <w:r>
                    <w:rPr>
                      <w:rFonts w:ascii="仿宋_GB2312" w:hAnsi="仿宋_GB2312" w:cs="仿宋_GB2312" w:eastAsia="仿宋_GB2312"/>
                      <w:sz w:val="18"/>
                    </w:rPr>
                    <w:t>3、针对具体业务应用进行软件的配置管理；</w:t>
                  </w:r>
                </w:p>
                <w:p>
                  <w:pPr>
                    <w:pStyle w:val="null3"/>
                    <w:jc w:val="both"/>
                  </w:pPr>
                  <w:r>
                    <w:rPr>
                      <w:rFonts w:ascii="仿宋_GB2312" w:hAnsi="仿宋_GB2312" w:cs="仿宋_GB2312" w:eastAsia="仿宋_GB2312"/>
                      <w:sz w:val="18"/>
                    </w:rPr>
                    <w:t>4、由于环境原因导致的系统显示错误、数据错误、运行效率降低等问题；</w:t>
                  </w:r>
                </w:p>
                <w:p>
                  <w:pPr>
                    <w:pStyle w:val="null3"/>
                    <w:jc w:val="both"/>
                  </w:pPr>
                  <w:r>
                    <w:rPr>
                      <w:rFonts w:ascii="仿宋_GB2312" w:hAnsi="仿宋_GB2312" w:cs="仿宋_GB2312" w:eastAsia="仿宋_GB2312"/>
                      <w:sz w:val="18"/>
                    </w:rPr>
                    <w:t>5、对软件的硬件环境进行检查。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电话服务</w:t>
                  </w:r>
                </w:p>
                <w:p>
                  <w:pPr>
                    <w:pStyle w:val="null3"/>
                    <w:jc w:val="left"/>
                  </w:pPr>
                  <w:r>
                    <w:rPr>
                      <w:rFonts w:ascii="仿宋_GB2312" w:hAnsi="仿宋_GB2312" w:cs="仿宋_GB2312" w:eastAsia="仿宋_GB2312"/>
                      <w:sz w:val="18"/>
                    </w:rPr>
                    <w:t>远程服务</w:t>
                  </w:r>
                </w:p>
                <w:p>
                  <w:pPr>
                    <w:pStyle w:val="null3"/>
                    <w:jc w:val="left"/>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数据库</w:t>
                  </w:r>
                </w:p>
                <w:p>
                  <w:pPr>
                    <w:pStyle w:val="null3"/>
                    <w:jc w:val="center"/>
                  </w:pPr>
                  <w:r>
                    <w:rPr>
                      <w:rFonts w:ascii="仿宋_GB2312" w:hAnsi="仿宋_GB2312" w:cs="仿宋_GB2312" w:eastAsia="仿宋_GB2312"/>
                      <w:sz w:val="18"/>
                    </w:rPr>
                    <w:t>运维服务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1、定期检查服务器及数据库的日志是否异常，及时发现存在或隐含的问题；</w:t>
                  </w:r>
                </w:p>
                <w:p>
                  <w:pPr>
                    <w:pStyle w:val="null3"/>
                    <w:jc w:val="both"/>
                  </w:pPr>
                  <w:r>
                    <w:rPr>
                      <w:rFonts w:ascii="仿宋_GB2312" w:hAnsi="仿宋_GB2312" w:cs="仿宋_GB2312" w:eastAsia="仿宋_GB2312"/>
                      <w:sz w:val="18"/>
                    </w:rPr>
                    <w:t>2、定期对服务器及数据库进行检查，检查的内容包括服务器的系统日志、磁盘空间、数据库的日志，表空间、数据文件大小的检查、数据库异常操作的检查；</w:t>
                  </w:r>
                </w:p>
                <w:p>
                  <w:pPr>
                    <w:pStyle w:val="null3"/>
                    <w:jc w:val="both"/>
                  </w:pPr>
                  <w:r>
                    <w:rPr>
                      <w:rFonts w:ascii="仿宋_GB2312" w:hAnsi="仿宋_GB2312" w:cs="仿宋_GB2312" w:eastAsia="仿宋_GB2312"/>
                      <w:sz w:val="18"/>
                    </w:rPr>
                    <w:t>3、定期对数据库进行更新，确保数据库无高危漏洞；</w:t>
                  </w:r>
                </w:p>
                <w:p>
                  <w:pPr>
                    <w:pStyle w:val="null3"/>
                    <w:jc w:val="both"/>
                  </w:pPr>
                  <w:r>
                    <w:rPr>
                      <w:rFonts w:ascii="仿宋_GB2312" w:hAnsi="仿宋_GB2312" w:cs="仿宋_GB2312" w:eastAsia="仿宋_GB2312"/>
                      <w:sz w:val="18"/>
                    </w:rPr>
                    <w:t>4、提供同版本的数据库迁移服务；</w:t>
                  </w:r>
                </w:p>
                <w:p>
                  <w:pPr>
                    <w:pStyle w:val="null3"/>
                    <w:jc w:val="both"/>
                  </w:pPr>
                  <w:r>
                    <w:rPr>
                      <w:rFonts w:ascii="仿宋_GB2312" w:hAnsi="仿宋_GB2312" w:cs="仿宋_GB2312" w:eastAsia="仿宋_GB2312"/>
                      <w:sz w:val="18"/>
                    </w:rPr>
                    <w:t>5、针对日志和检查中发现的问题，进行处理及数据库优化，以使服务器和数据库都保持最佳的性能。</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电话服务</w:t>
                  </w:r>
                </w:p>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第三方应用信息系统接口开发服务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为满足医院信息化建设中信息数据共享的需求，针对医院采购的第三方应用系统，服务商需组织专业技术人员，与第三方供应商技术人员协同开展系统接口开发工作。同时，服务商应负责接口软件的安装与调试，确保最终实现院方数据共享的业务目标。具体技术要求详见4.2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3个</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医院检验、影像设备接口开发服务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医院根据自身发展需求新增或调整检验、影像与检查仪器设备，服务商组织专业技术人员为院方提供接口程序的开发、调试服务，保障仪器设备无缝对接相应检验信息系统（LIS）与影像诊断系统（PACS）等信息系统。</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不少于</w:t>
                  </w:r>
                </w:p>
                <w:p>
                  <w:pPr>
                    <w:pStyle w:val="null3"/>
                    <w:jc w:val="center"/>
                  </w:pPr>
                  <w:r>
                    <w:rPr>
                      <w:rFonts w:ascii="仿宋_GB2312" w:hAnsi="仿宋_GB2312" w:cs="仿宋_GB2312" w:eastAsia="仿宋_GB2312"/>
                      <w:sz w:val="18"/>
                    </w:rPr>
                    <w:t>5台</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信息系统升级更新服务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1、服务商应根据国家、省和市政府部门新增或变更的相关政策，及时为医院提供系统更新服务；</w:t>
                  </w:r>
                </w:p>
                <w:p>
                  <w:pPr>
                    <w:pStyle w:val="null3"/>
                    <w:jc w:val="both"/>
                  </w:pPr>
                  <w:r>
                    <w:rPr>
                      <w:rFonts w:ascii="仿宋_GB2312" w:hAnsi="仿宋_GB2312" w:cs="仿宋_GB2312" w:eastAsia="仿宋_GB2312"/>
                      <w:sz w:val="18"/>
                    </w:rPr>
                    <w:t>2、服务商组织专业技术人员为院方提供信息系统软件升级服务；</w:t>
                  </w:r>
                </w:p>
                <w:p>
                  <w:pPr>
                    <w:pStyle w:val="null3"/>
                    <w:jc w:val="both"/>
                  </w:pPr>
                  <w:r>
                    <w:rPr>
                      <w:rFonts w:ascii="仿宋_GB2312" w:hAnsi="仿宋_GB2312" w:cs="仿宋_GB2312" w:eastAsia="仿宋_GB2312"/>
                      <w:sz w:val="18"/>
                    </w:rPr>
                    <w:t>3、服务商定期为院方提供系统安全补丁安装、调试服务。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网络安全与数据安全服务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1、服务商应根据《国家网络安全法》、《个人信息保护法》及相关法律法规，为医院提供网络安全服务与数据安全服务。</w:t>
                  </w:r>
                </w:p>
                <w:p>
                  <w:pPr>
                    <w:pStyle w:val="null3"/>
                    <w:jc w:val="both"/>
                  </w:pPr>
                  <w:r>
                    <w:rPr>
                      <w:rFonts w:ascii="仿宋_GB2312" w:hAnsi="仿宋_GB2312" w:cs="仿宋_GB2312" w:eastAsia="仿宋_GB2312"/>
                      <w:sz w:val="18"/>
                    </w:rPr>
                    <w:t>2、网络安全服务包含且不限以下服务：漏洞修复、安全问题整改、安全风险排查等服务。</w:t>
                  </w:r>
                </w:p>
                <w:p>
                  <w:pPr>
                    <w:pStyle w:val="null3"/>
                    <w:jc w:val="both"/>
                  </w:pPr>
                  <w:r>
                    <w:rPr>
                      <w:rFonts w:ascii="仿宋_GB2312" w:hAnsi="仿宋_GB2312" w:cs="仿宋_GB2312" w:eastAsia="仿宋_GB2312"/>
                      <w:sz w:val="18"/>
                    </w:rPr>
                    <w:t>3、数据安全服务</w:t>
                  </w:r>
                  <w:r>
                    <w:rPr>
                      <w:rFonts w:ascii="仿宋_GB2312" w:hAnsi="仿宋_GB2312" w:cs="仿宋_GB2312" w:eastAsia="仿宋_GB2312"/>
                      <w:sz w:val="18"/>
                    </w:rPr>
                    <w:t>包含且不限以下服务：数据加密、数据备份与恢复与数据库安全审计等服务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不限</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人员培训服务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服务商应定期组织技术人员为院方提供信息系统相关技术培训服务。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全年不少于20学时</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报表开发服务</w:t>
                  </w:r>
                </w:p>
              </w:tc>
              <w:tc>
                <w:tcPr>
                  <w:tcW w:type="dxa" w:w="1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服务商为院方提供新增报表开发服务。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远程服务</w:t>
                  </w:r>
                </w:p>
                <w:p>
                  <w:pPr>
                    <w:pStyle w:val="null3"/>
                    <w:jc w:val="center"/>
                  </w:pPr>
                  <w:r>
                    <w:rPr>
                      <w:rFonts w:ascii="仿宋_GB2312" w:hAnsi="仿宋_GB2312" w:cs="仿宋_GB2312" w:eastAsia="仿宋_GB2312"/>
                      <w:sz w:val="18"/>
                    </w:rPr>
                    <w:t>现场服务</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不少于</w:t>
                  </w:r>
                </w:p>
                <w:p>
                  <w:pPr>
                    <w:pStyle w:val="null3"/>
                    <w:jc w:val="center"/>
                  </w:pPr>
                  <w:r>
                    <w:rPr>
                      <w:rFonts w:ascii="仿宋_GB2312" w:hAnsi="仿宋_GB2312" w:cs="仿宋_GB2312" w:eastAsia="仿宋_GB2312"/>
                      <w:sz w:val="18"/>
                    </w:rPr>
                    <w:t>10张</w:t>
                  </w:r>
                </w:p>
              </w:tc>
            </w:tr>
          </w:tbl>
          <w:p>
            <w:pPr>
              <w:pStyle w:val="null3"/>
              <w:ind w:firstLine="402"/>
              <w:jc w:val="both"/>
            </w:pPr>
            <w:r>
              <w:rPr>
                <w:rFonts w:ascii="仿宋_GB2312" w:hAnsi="仿宋_GB2312" w:cs="仿宋_GB2312" w:eastAsia="仿宋_GB2312"/>
                <w:sz w:val="18"/>
                <w:b/>
              </w:rPr>
              <w:t>5.售后服务方案与技术能力要求：</w:t>
            </w:r>
          </w:p>
          <w:p>
            <w:pPr>
              <w:pStyle w:val="null3"/>
              <w:ind w:firstLine="400"/>
              <w:jc w:val="both"/>
            </w:pPr>
            <w:r>
              <w:rPr>
                <w:rFonts w:ascii="仿宋_GB2312" w:hAnsi="仿宋_GB2312" w:cs="仿宋_GB2312" w:eastAsia="仿宋_GB2312"/>
                <w:sz w:val="18"/>
              </w:rPr>
              <w:t>5.1.服务商应根据院方信息化建设情况与信息系统使用情况，制定详尽的售后服务方案。内容应涵盖以下几点：</w:t>
            </w:r>
          </w:p>
          <w:p>
            <w:pPr>
              <w:pStyle w:val="null3"/>
              <w:ind w:firstLine="400"/>
              <w:jc w:val="both"/>
            </w:pPr>
            <w:r>
              <w:rPr>
                <w:rFonts w:ascii="仿宋_GB2312" w:hAnsi="仿宋_GB2312" w:cs="仿宋_GB2312" w:eastAsia="仿宋_GB2312"/>
                <w:sz w:val="18"/>
              </w:rPr>
              <w:t>5.1.1. 售后运维服务的承诺。</w:t>
            </w:r>
          </w:p>
          <w:p>
            <w:pPr>
              <w:pStyle w:val="null3"/>
              <w:ind w:firstLine="400"/>
              <w:jc w:val="both"/>
            </w:pPr>
            <w:r>
              <w:rPr>
                <w:rFonts w:ascii="仿宋_GB2312" w:hAnsi="仿宋_GB2312" w:cs="仿宋_GB2312" w:eastAsia="仿宋_GB2312"/>
                <w:sz w:val="18"/>
              </w:rPr>
              <w:t>5.1.2. 提供售后运维服务的具体内容。</w:t>
            </w:r>
          </w:p>
          <w:p>
            <w:pPr>
              <w:pStyle w:val="null3"/>
              <w:ind w:firstLine="400"/>
              <w:jc w:val="both"/>
            </w:pPr>
            <w:r>
              <w:rPr>
                <w:rFonts w:ascii="仿宋_GB2312" w:hAnsi="仿宋_GB2312" w:cs="仿宋_GB2312" w:eastAsia="仿宋_GB2312"/>
                <w:sz w:val="18"/>
              </w:rPr>
              <w:t>5.1.3. 售后运维服务的具体措施。</w:t>
            </w:r>
          </w:p>
          <w:p>
            <w:pPr>
              <w:pStyle w:val="null3"/>
              <w:ind w:firstLine="400"/>
              <w:jc w:val="both"/>
            </w:pPr>
            <w:r>
              <w:rPr>
                <w:rFonts w:ascii="仿宋_GB2312" w:hAnsi="仿宋_GB2312" w:cs="仿宋_GB2312" w:eastAsia="仿宋_GB2312"/>
                <w:sz w:val="18"/>
              </w:rPr>
              <w:t>5.1.4. 售后运维服务相关管理制度。</w:t>
            </w:r>
          </w:p>
          <w:p>
            <w:pPr>
              <w:pStyle w:val="null3"/>
              <w:ind w:firstLine="400"/>
              <w:jc w:val="both"/>
            </w:pPr>
            <w:r>
              <w:rPr>
                <w:rFonts w:ascii="仿宋_GB2312" w:hAnsi="仿宋_GB2312" w:cs="仿宋_GB2312" w:eastAsia="仿宋_GB2312"/>
                <w:sz w:val="18"/>
              </w:rPr>
              <w:t>5.1.5 售后运维服务的应急预案。</w:t>
            </w:r>
          </w:p>
          <w:p>
            <w:pPr>
              <w:pStyle w:val="null3"/>
              <w:ind w:firstLine="400"/>
              <w:jc w:val="both"/>
            </w:pPr>
            <w:r>
              <w:rPr>
                <w:rFonts w:ascii="仿宋_GB2312" w:hAnsi="仿宋_GB2312" w:cs="仿宋_GB2312" w:eastAsia="仿宋_GB2312"/>
                <w:sz w:val="18"/>
              </w:rPr>
              <w:t>5.1.6 售后运维服务人员的考核方案。</w:t>
            </w:r>
          </w:p>
          <w:p>
            <w:pPr>
              <w:pStyle w:val="null3"/>
              <w:ind w:firstLine="400"/>
              <w:jc w:val="both"/>
            </w:pPr>
            <w:r>
              <w:rPr>
                <w:rFonts w:ascii="仿宋_GB2312" w:hAnsi="仿宋_GB2312" w:cs="仿宋_GB2312" w:eastAsia="仿宋_GB2312"/>
                <w:sz w:val="18"/>
              </w:rPr>
              <w:t>5.2. 售后服务技术能力要求：</w:t>
            </w:r>
          </w:p>
          <w:p>
            <w:pPr>
              <w:pStyle w:val="null3"/>
              <w:ind w:firstLine="400"/>
              <w:jc w:val="both"/>
            </w:pPr>
            <w:r>
              <w:rPr>
                <w:rFonts w:ascii="仿宋_GB2312" w:hAnsi="仿宋_GB2312" w:cs="仿宋_GB2312" w:eastAsia="仿宋_GB2312"/>
                <w:sz w:val="18"/>
              </w:rPr>
              <w:t>5.2.1. 提供售后服务人员组织架构。</w:t>
            </w:r>
          </w:p>
          <w:p>
            <w:pPr>
              <w:pStyle w:val="null3"/>
              <w:ind w:firstLine="400"/>
              <w:jc w:val="both"/>
            </w:pPr>
            <w:r>
              <w:rPr>
                <w:rFonts w:ascii="仿宋_GB2312" w:hAnsi="仿宋_GB2312" w:cs="仿宋_GB2312" w:eastAsia="仿宋_GB2312"/>
                <w:sz w:val="18"/>
              </w:rPr>
              <w:t>5.2.2 技术人员要求：服务商拥有高等级技术人员不少于1名，中级技术人员不少于10人，普通技术人员不少于30人。</w:t>
            </w:r>
          </w:p>
          <w:p>
            <w:pPr>
              <w:pStyle w:val="null3"/>
              <w:ind w:firstLine="402"/>
              <w:jc w:val="both"/>
            </w:pPr>
            <w:r>
              <w:rPr>
                <w:rFonts w:ascii="仿宋_GB2312" w:hAnsi="仿宋_GB2312" w:cs="仿宋_GB2312" w:eastAsia="仿宋_GB2312"/>
                <w:sz w:val="18"/>
                <w:b/>
              </w:rPr>
              <w:t>6.数据安全与信息保密要求：</w:t>
            </w:r>
          </w:p>
          <w:p>
            <w:pPr>
              <w:pStyle w:val="null3"/>
              <w:ind w:firstLine="400"/>
              <w:jc w:val="both"/>
            </w:pPr>
            <w:r>
              <w:rPr>
                <w:rFonts w:ascii="仿宋_GB2312" w:hAnsi="仿宋_GB2312" w:cs="仿宋_GB2312" w:eastAsia="仿宋_GB2312"/>
                <w:sz w:val="18"/>
              </w:rPr>
              <w:t>6.1 服务商应具有数据安全相关管理制度。</w:t>
            </w:r>
          </w:p>
          <w:p>
            <w:pPr>
              <w:pStyle w:val="null3"/>
              <w:ind w:firstLine="400"/>
              <w:jc w:val="both"/>
            </w:pPr>
            <w:r>
              <w:rPr>
                <w:rFonts w:ascii="仿宋_GB2312" w:hAnsi="仿宋_GB2312" w:cs="仿宋_GB2312" w:eastAsia="仿宋_GB2312"/>
                <w:sz w:val="18"/>
              </w:rPr>
              <w:t>6.2 服务商拥有数据安全方面技术人员，需提供相关技术能力证明材料，提供近三年的公司为其缴交社保证明材料。</w:t>
            </w:r>
          </w:p>
          <w:p>
            <w:pPr>
              <w:pStyle w:val="null3"/>
              <w:ind w:firstLine="400"/>
              <w:jc w:val="both"/>
            </w:pPr>
            <w:r>
              <w:rPr>
                <w:rFonts w:ascii="仿宋_GB2312" w:hAnsi="仿宋_GB2312" w:cs="仿宋_GB2312" w:eastAsia="仿宋_GB2312"/>
                <w:sz w:val="18"/>
              </w:rPr>
              <w:t>6.3 提供服务商信息保密相关管理制度与公司员工保密协议。</w:t>
            </w:r>
          </w:p>
          <w:p>
            <w:pPr>
              <w:pStyle w:val="null3"/>
              <w:ind w:firstLine="402"/>
              <w:jc w:val="both"/>
            </w:pPr>
            <w:r>
              <w:rPr>
                <w:rFonts w:ascii="仿宋_GB2312" w:hAnsi="仿宋_GB2312" w:cs="仿宋_GB2312" w:eastAsia="仿宋_GB2312"/>
                <w:sz w:val="18"/>
                <w:b/>
              </w:rPr>
              <w:t>二、商务要求</w:t>
            </w:r>
          </w:p>
          <w:p>
            <w:pPr>
              <w:pStyle w:val="null3"/>
              <w:ind w:firstLine="402"/>
              <w:jc w:val="both"/>
            </w:pPr>
            <w:r>
              <w:rPr>
                <w:rFonts w:ascii="仿宋_GB2312" w:hAnsi="仿宋_GB2312" w:cs="仿宋_GB2312" w:eastAsia="仿宋_GB2312"/>
                <w:sz w:val="18"/>
                <w:b/>
              </w:rPr>
              <w:t>1、合同内容及金额：</w:t>
            </w:r>
          </w:p>
          <w:p>
            <w:pPr>
              <w:pStyle w:val="null3"/>
              <w:ind w:firstLine="400"/>
              <w:jc w:val="both"/>
            </w:pPr>
            <w:r>
              <w:rPr>
                <w:rFonts w:ascii="仿宋_GB2312" w:hAnsi="仿宋_GB2312" w:cs="仿宋_GB2312" w:eastAsia="仿宋_GB2312"/>
                <w:sz w:val="18"/>
              </w:rPr>
              <w:t>即成交单位的响应内容、现场澄清确认内容（若有）及其成交总金额。</w:t>
            </w:r>
          </w:p>
          <w:p>
            <w:pPr>
              <w:pStyle w:val="null3"/>
              <w:ind w:firstLine="402"/>
              <w:jc w:val="both"/>
            </w:pPr>
            <w:r>
              <w:rPr>
                <w:rFonts w:ascii="仿宋_GB2312" w:hAnsi="仿宋_GB2312" w:cs="仿宋_GB2312" w:eastAsia="仿宋_GB2312"/>
                <w:sz w:val="18"/>
                <w:b/>
              </w:rPr>
              <w:t>2、服务地点：陕西省交通医院</w:t>
            </w:r>
          </w:p>
          <w:p>
            <w:pPr>
              <w:pStyle w:val="null3"/>
              <w:ind w:firstLine="402"/>
              <w:jc w:val="both"/>
            </w:pPr>
            <w:r>
              <w:rPr>
                <w:rFonts w:ascii="仿宋_GB2312" w:hAnsi="仿宋_GB2312" w:cs="仿宋_GB2312" w:eastAsia="仿宋_GB2312"/>
                <w:sz w:val="18"/>
                <w:b/>
              </w:rPr>
              <w:t>3、服务期：一年</w:t>
            </w:r>
          </w:p>
          <w:p>
            <w:pPr>
              <w:pStyle w:val="null3"/>
              <w:ind w:firstLine="402"/>
              <w:jc w:val="both"/>
            </w:pPr>
            <w:r>
              <w:rPr>
                <w:rFonts w:ascii="仿宋_GB2312" w:hAnsi="仿宋_GB2312" w:cs="仿宋_GB2312" w:eastAsia="仿宋_GB2312"/>
                <w:sz w:val="18"/>
                <w:b/>
              </w:rPr>
              <w:t>4、项目考核与验收</w:t>
            </w:r>
          </w:p>
          <w:p>
            <w:pPr>
              <w:pStyle w:val="null3"/>
              <w:ind w:firstLine="400"/>
              <w:jc w:val="both"/>
            </w:pPr>
            <w:r>
              <w:rPr>
                <w:rFonts w:ascii="仿宋_GB2312" w:hAnsi="仿宋_GB2312" w:cs="仿宋_GB2312" w:eastAsia="仿宋_GB2312"/>
                <w:sz w:val="18"/>
              </w:rPr>
              <w:t>4.1项目由采购人组织相关人员或其邀请的专家进行考核评价验收，考核与验收时成交人应无条件予以配合并提供所需的全部资料：</w:t>
            </w:r>
          </w:p>
          <w:p>
            <w:pPr>
              <w:pStyle w:val="null3"/>
              <w:ind w:firstLine="400"/>
              <w:jc w:val="both"/>
            </w:pPr>
            <w:r>
              <w:rPr>
                <w:rFonts w:ascii="仿宋_GB2312" w:hAnsi="仿宋_GB2312" w:cs="仿宋_GB2312" w:eastAsia="仿宋_GB2312"/>
                <w:sz w:val="18"/>
              </w:rPr>
              <w:t>4.2考核标准：项目考核依据《信息系统售后运维服务质量评价标准》（详见合同附件）评分。评分90－100分为优秀，70－89为合格，70分以下（不含70分）为不合格。</w:t>
            </w:r>
          </w:p>
          <w:p>
            <w:pPr>
              <w:pStyle w:val="null3"/>
              <w:ind w:firstLine="400"/>
              <w:jc w:val="both"/>
            </w:pPr>
            <w:r>
              <w:rPr>
                <w:rFonts w:ascii="仿宋_GB2312" w:hAnsi="仿宋_GB2312" w:cs="仿宋_GB2312" w:eastAsia="仿宋_GB2312"/>
                <w:sz w:val="18"/>
              </w:rPr>
              <w:t>4.3验收依据：项目考核汇总表、采购文件、响应文件、合同文本、国内相应的标准、规范。</w:t>
            </w:r>
          </w:p>
          <w:p>
            <w:pPr>
              <w:pStyle w:val="null3"/>
              <w:ind w:firstLine="402"/>
              <w:jc w:val="both"/>
            </w:pPr>
            <w:r>
              <w:rPr>
                <w:rFonts w:ascii="仿宋_GB2312" w:hAnsi="仿宋_GB2312" w:cs="仿宋_GB2312" w:eastAsia="仿宋_GB2312"/>
                <w:sz w:val="18"/>
                <w:b/>
              </w:rPr>
              <w:t>5、结算方式</w:t>
            </w:r>
          </w:p>
          <w:p>
            <w:pPr>
              <w:pStyle w:val="null3"/>
              <w:ind w:firstLine="400"/>
              <w:jc w:val="both"/>
            </w:pPr>
            <w:r>
              <w:rPr>
                <w:rFonts w:ascii="仿宋_GB2312" w:hAnsi="仿宋_GB2312" w:cs="仿宋_GB2312" w:eastAsia="仿宋_GB2312"/>
                <w:sz w:val="18"/>
              </w:rPr>
              <w:t>5.1结算单位：采购人结算，结算前成交人须开具等额发票给采购人，采购人收到发票后，按照5.2的付款方式结算，否则导致的付款延误，责任自行承担。</w:t>
            </w:r>
          </w:p>
          <w:p>
            <w:pPr>
              <w:pStyle w:val="null3"/>
              <w:ind w:firstLine="402"/>
              <w:jc w:val="both"/>
            </w:pPr>
            <w:r>
              <w:rPr>
                <w:rFonts w:ascii="仿宋_GB2312" w:hAnsi="仿宋_GB2312" w:cs="仿宋_GB2312" w:eastAsia="仿宋_GB2312"/>
                <w:sz w:val="18"/>
                <w:b/>
              </w:rPr>
              <w:t>5.2付款方式(具体以合同签订为准)：</w:t>
            </w:r>
          </w:p>
          <w:p>
            <w:pPr>
              <w:pStyle w:val="null3"/>
              <w:ind w:firstLine="400"/>
              <w:jc w:val="both"/>
            </w:pPr>
            <w:r>
              <w:rPr>
                <w:rFonts w:ascii="仿宋_GB2312" w:hAnsi="仿宋_GB2312" w:cs="仿宋_GB2312" w:eastAsia="仿宋_GB2312"/>
                <w:sz w:val="18"/>
              </w:rPr>
              <w:t>1、合同签订且收到发票后 ，达到付款条件起 10 日内，支付合同总金额的50.00%。</w:t>
            </w:r>
          </w:p>
          <w:p>
            <w:pPr>
              <w:pStyle w:val="null3"/>
              <w:ind w:firstLine="400"/>
              <w:jc w:val="both"/>
            </w:pPr>
            <w:r>
              <w:rPr>
                <w:rFonts w:ascii="仿宋_GB2312" w:hAnsi="仿宋_GB2312" w:cs="仿宋_GB2312" w:eastAsia="仿宋_GB2312"/>
                <w:sz w:val="18"/>
              </w:rPr>
              <w:t>2、项目按合同验收标准合格且收到发票后 ，达到合同约定付款条件起 10 日内，支付合同总金额的 50.00%。</w:t>
            </w:r>
          </w:p>
          <w:p>
            <w:pPr>
              <w:pStyle w:val="null3"/>
              <w:ind w:firstLine="402"/>
              <w:jc w:val="both"/>
            </w:pPr>
            <w:r>
              <w:rPr>
                <w:rFonts w:ascii="仿宋_GB2312" w:hAnsi="仿宋_GB2312" w:cs="仿宋_GB2312" w:eastAsia="仿宋_GB2312"/>
                <w:sz w:val="18"/>
                <w:b/>
              </w:rPr>
              <w:t>6、知识产权</w:t>
            </w:r>
          </w:p>
          <w:p>
            <w:pPr>
              <w:pStyle w:val="null3"/>
              <w:ind w:firstLine="400"/>
              <w:jc w:val="both"/>
            </w:pPr>
            <w:r>
              <w:rPr>
                <w:rFonts w:ascii="仿宋_GB2312" w:hAnsi="仿宋_GB2312" w:cs="仿宋_GB2312" w:eastAsia="仿宋_GB2312"/>
                <w:sz w:val="18"/>
              </w:rPr>
              <w:t>6.1供应商应保证投标服务及货物不会出现因第三方提出侵犯其专利权、商标权或其它知识产权而引发法律或经济纠纷，否则由供应商承担全部责任。任何被供应商用于未经授权的商业目的行为所造成的违约或侵权责任由供应商承但。</w:t>
            </w:r>
          </w:p>
          <w:p>
            <w:pPr>
              <w:pStyle w:val="null3"/>
              <w:ind w:firstLine="402"/>
              <w:jc w:val="both"/>
            </w:pPr>
            <w:r>
              <w:rPr>
                <w:rFonts w:ascii="仿宋_GB2312" w:hAnsi="仿宋_GB2312" w:cs="仿宋_GB2312" w:eastAsia="仿宋_GB2312"/>
                <w:sz w:val="18"/>
                <w:b/>
              </w:rPr>
              <w:t>7、违约责任</w:t>
            </w:r>
          </w:p>
          <w:p>
            <w:pPr>
              <w:pStyle w:val="null3"/>
              <w:ind w:firstLine="400"/>
              <w:jc w:val="both"/>
            </w:pPr>
            <w:r>
              <w:rPr>
                <w:rFonts w:ascii="仿宋_GB2312" w:hAnsi="仿宋_GB2312" w:cs="仿宋_GB2312" w:eastAsia="仿宋_GB2312"/>
                <w:sz w:val="18"/>
              </w:rPr>
              <w:t>7.1按《中华人民共和国民法典》中的相关条款执行。</w:t>
            </w:r>
          </w:p>
          <w:p>
            <w:pPr>
              <w:pStyle w:val="null3"/>
              <w:ind w:firstLine="400"/>
              <w:jc w:val="both"/>
            </w:pPr>
            <w:r>
              <w:rPr>
                <w:rFonts w:ascii="仿宋_GB2312" w:hAnsi="仿宋_GB2312" w:cs="仿宋_GB2312" w:eastAsia="仿宋_GB2312"/>
                <w:sz w:val="18"/>
              </w:rPr>
              <w:t>7.2除不可抗力因素外，因乙方原因造成无法在约定的时限内及时响应并排除故障的，逾期责任由乙方承担，每逾期一天乙方按合同总价的【0.5】%向甲方支付违约金，累计逾期超过【30】天或合同期内逾期情形累计出现【10】次的，视为乙方根本违约，甲方有权单方解除本协议，乙方应按合同总价的【10】%向甲方支付违约金，并承担因此造成的甲方损失；除不可抗力因素外，因甲方原因造成无法按照合同约定如期向乙方支付相应款项的，逾期责任应由甲方承担，每逾期一天甲方按照合同总价的【0.5】%向乙方支付违约金，累计逾期超过【30】天的，视为甲方根本违约，乙方有权单方解除本协议，甲方应按照合同总价的【10】%向乙方支付违约金，并承担因此造成的乙方损失。</w:t>
            </w:r>
          </w:p>
          <w:p>
            <w:pPr>
              <w:pStyle w:val="null3"/>
              <w:ind w:firstLine="400"/>
              <w:jc w:val="both"/>
            </w:pPr>
            <w:r>
              <w:rPr>
                <w:rFonts w:ascii="仿宋_GB2312" w:hAnsi="仿宋_GB2312" w:cs="仿宋_GB2312" w:eastAsia="仿宋_GB2312"/>
                <w:sz w:val="18"/>
              </w:rPr>
              <w:t>7.3在合同期限内，由于乙方服务人员工作而导致甲方数据库受损、数据错误、丢失等，视为乙方严重违约，承担因此造成的甲方损失；由于甲方操作人员违规操作或硬件设备故障等导致的甲方数据库受损、数据错误、丢失等与乙方无关。</w:t>
            </w:r>
          </w:p>
          <w:p>
            <w:pPr>
              <w:pStyle w:val="null3"/>
              <w:ind w:firstLine="400"/>
              <w:jc w:val="both"/>
            </w:pPr>
            <w:r>
              <w:rPr>
                <w:rFonts w:ascii="仿宋_GB2312" w:hAnsi="仿宋_GB2312" w:cs="仿宋_GB2312" w:eastAsia="仿宋_GB2312"/>
                <w:sz w:val="18"/>
              </w:rPr>
              <w:t>7.4在合同期限内，未经甲方同意，乙方不得转包、分包本合同项下的合同义务。</w:t>
            </w:r>
          </w:p>
          <w:p>
            <w:pPr>
              <w:pStyle w:val="null3"/>
              <w:ind w:firstLine="400"/>
              <w:jc w:val="both"/>
            </w:pPr>
            <w:r>
              <w:rPr>
                <w:rFonts w:ascii="仿宋_GB2312" w:hAnsi="仿宋_GB2312" w:cs="仿宋_GB2312" w:eastAsia="仿宋_GB2312"/>
                <w:sz w:val="18"/>
              </w:rPr>
              <w:t>7.5乙方在上门维护期间因乙方原因造成甲方设备损坏的，由乙方承担全部赔偿责任，给甲方造成其他损失的，甲方有权向乙方追偿。</w:t>
            </w:r>
          </w:p>
          <w:p>
            <w:pPr>
              <w:pStyle w:val="null3"/>
              <w:jc w:val="both"/>
            </w:pPr>
            <w:r>
              <w:rPr>
                <w:rFonts w:ascii="仿宋_GB2312" w:hAnsi="仿宋_GB2312" w:cs="仿宋_GB2312" w:eastAsia="仿宋_GB2312"/>
                <w:sz w:val="18"/>
              </w:rPr>
              <w:t xml:space="preserve">   注：本项目技术要求及商务要求不允许负偏离。</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标的名称：接口开发服务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18"/>
                <w:b/>
              </w:rPr>
              <w:t>4.2 第三方系统接口开发服务技术要求：</w:t>
            </w:r>
          </w:p>
          <w:p>
            <w:pPr>
              <w:pStyle w:val="null3"/>
              <w:ind w:firstLine="402"/>
              <w:jc w:val="both"/>
            </w:pPr>
            <w:r>
              <w:rPr>
                <w:rFonts w:ascii="仿宋_GB2312" w:hAnsi="仿宋_GB2312" w:cs="仿宋_GB2312" w:eastAsia="仿宋_GB2312"/>
                <w:sz w:val="18"/>
                <w:b/>
              </w:rPr>
              <w:t>4.2.1总体要求</w:t>
            </w:r>
          </w:p>
          <w:p>
            <w:pPr>
              <w:pStyle w:val="null3"/>
              <w:ind w:firstLine="400"/>
              <w:jc w:val="both"/>
            </w:pPr>
            <w:r>
              <w:rPr>
                <w:rFonts w:ascii="仿宋_GB2312" w:hAnsi="仿宋_GB2312" w:cs="仿宋_GB2312" w:eastAsia="仿宋_GB2312"/>
                <w:sz w:val="18"/>
              </w:rPr>
              <w:t xml:space="preserve">4.2.1.1 遵循标准与规范  </w:t>
            </w:r>
          </w:p>
          <w:p>
            <w:pPr>
              <w:pStyle w:val="null3"/>
              <w:ind w:firstLine="400"/>
              <w:jc w:val="both"/>
            </w:pPr>
            <w:r>
              <w:rPr>
                <w:rFonts w:ascii="仿宋_GB2312" w:hAnsi="仿宋_GB2312" w:cs="仿宋_GB2312" w:eastAsia="仿宋_GB2312"/>
                <w:sz w:val="18"/>
              </w:rPr>
              <w:t xml:space="preserve">4.2.1.1.1严格遵循《食源性疾病病例数据智能采集嵌入式微服务组件集成策略技术规范》（以下简称：《食源性疾病接口规范》）、《国家传染病智能监测预警前置软件数据集成和API接口规范》（以下简称：《传染病监测系统接口规范》）及《陕西省医疗保障信息平台定点医药机构医保药品耗材追溯信息采集工作接口规范》（以下简称：《追溯码信息采集系统接口规范》）。  </w:t>
            </w:r>
          </w:p>
          <w:p>
            <w:pPr>
              <w:pStyle w:val="null3"/>
              <w:ind w:firstLine="400"/>
              <w:jc w:val="both"/>
            </w:pPr>
            <w:r>
              <w:rPr>
                <w:rFonts w:ascii="仿宋_GB2312" w:hAnsi="仿宋_GB2312" w:cs="仿宋_GB2312" w:eastAsia="仿宋_GB2312"/>
                <w:sz w:val="18"/>
              </w:rPr>
              <w:t xml:space="preserve">4.2.1.1.2采用标准化代码体系，如 ICD-10 诊断编码、疾病分类代码、药品编码、医疗机构代码等，确保与国家及省级平台数据互通。  </w:t>
            </w:r>
          </w:p>
          <w:p>
            <w:pPr>
              <w:pStyle w:val="null3"/>
              <w:ind w:firstLine="400"/>
              <w:jc w:val="both"/>
            </w:pPr>
            <w:r>
              <w:rPr>
                <w:rFonts w:ascii="仿宋_GB2312" w:hAnsi="仿宋_GB2312" w:cs="仿宋_GB2312" w:eastAsia="仿宋_GB2312"/>
                <w:sz w:val="18"/>
              </w:rPr>
              <w:t>4.2.1.1.3支持数据加密传输，符合《个人信息保护法》及医疗数据安全标准。</w:t>
            </w:r>
          </w:p>
          <w:p>
            <w:pPr>
              <w:pStyle w:val="null3"/>
              <w:ind w:firstLine="400"/>
              <w:jc w:val="both"/>
            </w:pPr>
            <w:r>
              <w:rPr>
                <w:rFonts w:ascii="仿宋_GB2312" w:hAnsi="仿宋_GB2312" w:cs="仿宋_GB2312" w:eastAsia="仿宋_GB2312"/>
                <w:sz w:val="18"/>
              </w:rPr>
              <w:t xml:space="preserve">4.2.1.2 系统兼容性  </w:t>
            </w:r>
          </w:p>
          <w:p>
            <w:pPr>
              <w:pStyle w:val="null3"/>
              <w:ind w:firstLine="400"/>
              <w:jc w:val="both"/>
            </w:pPr>
            <w:r>
              <w:rPr>
                <w:rFonts w:ascii="仿宋_GB2312" w:hAnsi="仿宋_GB2312" w:cs="仿宋_GB2312" w:eastAsia="仿宋_GB2312"/>
                <w:sz w:val="18"/>
              </w:rPr>
              <w:t xml:space="preserve">4.2.1.2.1兼容医院现有HIS系统，支持与嵌入式微服务组件无缝集成，实现诊断触发、数据填报、审核上报等功能。  </w:t>
            </w:r>
          </w:p>
          <w:p>
            <w:pPr>
              <w:pStyle w:val="null3"/>
              <w:ind w:firstLine="400"/>
              <w:jc w:val="both"/>
            </w:pPr>
            <w:r>
              <w:rPr>
                <w:rFonts w:ascii="仿宋_GB2312" w:hAnsi="仿宋_GB2312" w:cs="仿宋_GB2312" w:eastAsia="仿宋_GB2312"/>
                <w:sz w:val="18"/>
              </w:rPr>
              <w:t>4.2.1.2.2预留国家 / 省级平台规则升级接口，如新增传染病病种（需支持动态扩展diseaseCode）、调整校验规则时，确保 HIS 系统无需重构，仅通过配置文件更新实现兼容。</w:t>
            </w:r>
          </w:p>
          <w:p>
            <w:pPr>
              <w:pStyle w:val="null3"/>
              <w:ind w:firstLine="400"/>
              <w:jc w:val="both"/>
            </w:pPr>
            <w:r>
              <w:rPr>
                <w:rFonts w:ascii="仿宋_GB2312" w:hAnsi="仿宋_GB2312" w:cs="仿宋_GB2312" w:eastAsia="仿宋_GB2312"/>
                <w:sz w:val="18"/>
              </w:rPr>
              <w:t>4.2.1.2.3支持与第三方系统（如 LIS、PACS）的松散耦合集成，通过标准化中间件实现检验报告、影像数据的按需同步。</w:t>
            </w:r>
          </w:p>
          <w:p>
            <w:pPr>
              <w:pStyle w:val="null3"/>
              <w:ind w:firstLine="402"/>
              <w:jc w:val="both"/>
            </w:pPr>
            <w:r>
              <w:rPr>
                <w:rFonts w:ascii="仿宋_GB2312" w:hAnsi="仿宋_GB2312" w:cs="仿宋_GB2312" w:eastAsia="仿宋_GB2312"/>
                <w:sz w:val="18"/>
                <w:b/>
              </w:rPr>
              <w:t>4.2.2数据采集与传输要求</w:t>
            </w:r>
          </w:p>
          <w:p>
            <w:pPr>
              <w:pStyle w:val="null3"/>
              <w:ind w:firstLine="400"/>
              <w:jc w:val="both"/>
            </w:pPr>
            <w:r>
              <w:rPr>
                <w:rFonts w:ascii="仿宋_GB2312" w:hAnsi="仿宋_GB2312" w:cs="仿宋_GB2312" w:eastAsia="仿宋_GB2312"/>
                <w:sz w:val="18"/>
              </w:rPr>
              <w:t>4.2.2.1. 数据采集范围</w:t>
            </w:r>
          </w:p>
          <w:p>
            <w:pPr>
              <w:pStyle w:val="null3"/>
              <w:ind w:firstLine="400"/>
              <w:jc w:val="both"/>
            </w:pPr>
            <w:r>
              <w:rPr>
                <w:rFonts w:ascii="仿宋_GB2312" w:hAnsi="仿宋_GB2312" w:cs="仿宋_GB2312" w:eastAsia="仿宋_GB2312"/>
                <w:sz w:val="18"/>
              </w:rPr>
              <w:t xml:space="preserve">4.2.2.1.1食源性疾病病例数据智能采集范围与国家传染病智能监测预警前置软件数据采集范围必需指标：  </w:t>
            </w:r>
          </w:p>
          <w:p>
            <w:pPr>
              <w:pStyle w:val="null3"/>
            </w:pPr>
            <w:r>
              <w:rPr>
                <w:rFonts w:ascii="仿宋_GB2312" w:hAnsi="仿宋_GB2312" w:cs="仿宋_GB2312" w:eastAsia="仿宋_GB2312"/>
                <w:sz w:val="18"/>
              </w:rPr>
              <w:t xml:space="preserve">   患者基本信息（姓名、性别、身份证号、出生日期、联系方式等）。  </w:t>
            </w:r>
          </w:p>
          <w:p>
            <w:pPr>
              <w:pStyle w:val="null3"/>
            </w:pPr>
            <w:r>
              <w:rPr>
                <w:rFonts w:ascii="仿宋_GB2312" w:hAnsi="仿宋_GB2312" w:cs="仿宋_GB2312" w:eastAsia="仿宋_GB2312"/>
                <w:sz w:val="18"/>
              </w:rPr>
              <w:t xml:space="preserve">   诊疗活动信息（发病时间、就诊时间、诊断结论、职业、医疗机构代码等）。  </w:t>
            </w:r>
          </w:p>
          <w:p>
            <w:pPr>
              <w:pStyle w:val="null3"/>
            </w:pPr>
            <w:r>
              <w:rPr>
                <w:rFonts w:ascii="仿宋_GB2312" w:hAnsi="仿宋_GB2312" w:cs="仿宋_GB2312" w:eastAsia="仿宋_GB2312"/>
                <w:sz w:val="18"/>
              </w:rPr>
              <w:t xml:space="preserve">   传染病报告卡数据（疾病诊断代码、病例分类、发病日期等，需符合文档2中“传染病报告卡emr_inf_report”表结构）。  </w:t>
            </w:r>
          </w:p>
          <w:p>
            <w:pPr>
              <w:pStyle w:val="null3"/>
            </w:pPr>
            <w:r>
              <w:rPr>
                <w:rFonts w:ascii="仿宋_GB2312" w:hAnsi="仿宋_GB2312" w:cs="仿宋_GB2312" w:eastAsia="仿宋_GB2312"/>
                <w:sz w:val="18"/>
              </w:rPr>
              <w:t xml:space="preserve">   实验室检验结果（如血常规、病原体检测，传染病监测预警系统要求的检验项目）。  </w:t>
            </w:r>
          </w:p>
          <w:p>
            <w:pPr>
              <w:pStyle w:val="null3"/>
            </w:pPr>
            <w:r>
              <w:rPr>
                <w:rFonts w:ascii="仿宋_GB2312" w:hAnsi="仿宋_GB2312" w:cs="仿宋_GB2312" w:eastAsia="仿宋_GB2312"/>
                <w:sz w:val="18"/>
              </w:rPr>
              <w:t xml:space="preserve">   查看/修改病例接口、病例与标本待办数量查询、医院留存信息查询（如病例、标本、每月汇总数据）。  </w:t>
            </w:r>
          </w:p>
          <w:p>
            <w:pPr>
              <w:pStyle w:val="null3"/>
              <w:ind w:firstLine="400"/>
              <w:jc w:val="both"/>
            </w:pPr>
            <w:r>
              <w:rPr>
                <w:rFonts w:ascii="仿宋_GB2312" w:hAnsi="仿宋_GB2312" w:cs="仿宋_GB2312" w:eastAsia="仿宋_GB2312"/>
                <w:sz w:val="18"/>
              </w:rPr>
              <w:t xml:space="preserve">4.2.2.1.2陕西省医疗保障信息平台定点医药机构医保药品耗材追溯信息采集范围必需指标：  </w:t>
            </w:r>
          </w:p>
          <w:p>
            <w:pPr>
              <w:pStyle w:val="null3"/>
              <w:ind w:firstLine="400"/>
              <w:jc w:val="both"/>
            </w:pPr>
            <w:r>
              <w:rPr>
                <w:rFonts w:ascii="仿宋_GB2312" w:hAnsi="仿宋_GB2312" w:cs="仿宋_GB2312" w:eastAsia="仿宋_GB2312"/>
                <w:sz w:val="18"/>
              </w:rPr>
              <w:t xml:space="preserve">药品耗材信息（编码、名称、规格、价格、库存等，需符合陕西省医保平台规范）。  </w:t>
            </w:r>
          </w:p>
          <w:p>
            <w:pPr>
              <w:pStyle w:val="null3"/>
              <w:ind w:firstLine="400"/>
              <w:jc w:val="both"/>
            </w:pPr>
            <w:r>
              <w:rPr>
                <w:rFonts w:ascii="仿宋_GB2312" w:hAnsi="仿宋_GB2312" w:cs="仿宋_GB2312" w:eastAsia="仿宋_GB2312"/>
                <w:sz w:val="18"/>
              </w:rPr>
              <w:t>住院/门诊费用结算数据，支持与医保平台实时同步。</w:t>
            </w:r>
          </w:p>
          <w:p>
            <w:pPr>
              <w:pStyle w:val="null3"/>
              <w:ind w:firstLine="400"/>
              <w:jc w:val="both"/>
            </w:pPr>
            <w:r>
              <w:rPr>
                <w:rFonts w:ascii="仿宋_GB2312" w:hAnsi="仿宋_GB2312" w:cs="仿宋_GB2312" w:eastAsia="仿宋_GB2312"/>
                <w:sz w:val="18"/>
              </w:rPr>
              <w:t xml:space="preserve">4.2.2.2 数据格式与传输方式  </w:t>
            </w:r>
          </w:p>
          <w:p>
            <w:pPr>
              <w:pStyle w:val="null3"/>
              <w:ind w:firstLine="400"/>
              <w:jc w:val="both"/>
            </w:pPr>
            <w:r>
              <w:rPr>
                <w:rFonts w:ascii="仿宋_GB2312" w:hAnsi="仿宋_GB2312" w:cs="仿宋_GB2312" w:eastAsia="仿宋_GB2312"/>
                <w:sz w:val="18"/>
              </w:rPr>
              <w:t xml:space="preserve">格式：采用JSON格式，字符集为UTF-8，符合文档1、2中的参数示例（如诊断结论判断接口参数、传值字段）。  </w:t>
            </w:r>
          </w:p>
          <w:p>
            <w:pPr>
              <w:pStyle w:val="null3"/>
              <w:ind w:firstLine="400"/>
              <w:jc w:val="both"/>
            </w:pPr>
            <w:r>
              <w:rPr>
                <w:rFonts w:ascii="仿宋_GB2312" w:hAnsi="仿宋_GB2312" w:cs="仿宋_GB2312" w:eastAsia="仿宋_GB2312"/>
                <w:sz w:val="18"/>
              </w:rPr>
              <w:t xml:space="preserve">方式：  </w:t>
            </w:r>
          </w:p>
          <w:p>
            <w:pPr>
              <w:pStyle w:val="null3"/>
              <w:ind w:firstLine="400"/>
              <w:jc w:val="both"/>
            </w:pPr>
            <w:r>
              <w:rPr>
                <w:rFonts w:ascii="仿宋_GB2312" w:hAnsi="仿宋_GB2312" w:cs="仿宋_GB2312" w:eastAsia="仿宋_GB2312"/>
                <w:sz w:val="18"/>
              </w:rPr>
              <w:t xml:space="preserve">实时同步：诊疗活动、传染病报告卡等关键数据需实时触发传输（如文档2中“医院信息系统保存数据后实时同步”）。  </w:t>
            </w:r>
          </w:p>
          <w:p>
            <w:pPr>
              <w:pStyle w:val="null3"/>
              <w:ind w:firstLine="400"/>
              <w:jc w:val="both"/>
            </w:pPr>
            <w:r>
              <w:rPr>
                <w:rFonts w:ascii="仿宋_GB2312" w:hAnsi="仿宋_GB2312" w:cs="仿宋_GB2312" w:eastAsia="仿宋_GB2312"/>
                <w:sz w:val="18"/>
              </w:rPr>
              <w:t xml:space="preserve">定时同步：常规监测数据（如门急诊病历、住院记录）每日24点前同步（T+0）。  </w:t>
            </w:r>
          </w:p>
          <w:p>
            <w:pPr>
              <w:pStyle w:val="null3"/>
              <w:ind w:firstLine="400"/>
              <w:jc w:val="both"/>
            </w:pPr>
            <w:r>
              <w:rPr>
                <w:rFonts w:ascii="仿宋_GB2312" w:hAnsi="仿宋_GB2312" w:cs="仿宋_GB2312" w:eastAsia="仿宋_GB2312"/>
                <w:sz w:val="18"/>
              </w:rPr>
              <w:t>接口协议：HTTP/HTTPS，支持POST、GET、DELETE等请求方法，如文档2中“数据操作API接口”的请求类型。</w:t>
            </w:r>
          </w:p>
          <w:p>
            <w:pPr>
              <w:pStyle w:val="null3"/>
              <w:ind w:firstLine="400"/>
              <w:jc w:val="both"/>
            </w:pPr>
            <w:r>
              <w:rPr>
                <w:rFonts w:ascii="仿宋_GB2312" w:hAnsi="仿宋_GB2312" w:cs="仿宋_GB2312" w:eastAsia="仿宋_GB2312"/>
                <w:sz w:val="18"/>
              </w:rPr>
              <w:t xml:space="preserve">4.2.2.3 数据校验与质量  </w:t>
            </w:r>
          </w:p>
          <w:p>
            <w:pPr>
              <w:pStyle w:val="null3"/>
              <w:ind w:firstLine="400"/>
              <w:jc w:val="both"/>
            </w:pPr>
            <w:r>
              <w:rPr>
                <w:rFonts w:ascii="仿宋_GB2312" w:hAnsi="仿宋_GB2312" w:cs="仿宋_GB2312" w:eastAsia="仿宋_GB2312"/>
                <w:sz w:val="18"/>
              </w:rPr>
              <w:t>必填字段校验：重要字段（如发病时间、患者姓名、性别等）缺失则拒绝接收并返回错误信息。</w:t>
            </w:r>
          </w:p>
          <w:p>
            <w:pPr>
              <w:pStyle w:val="null3"/>
              <w:ind w:firstLine="400"/>
              <w:jc w:val="both"/>
            </w:pPr>
            <w:r>
              <w:rPr>
                <w:rFonts w:ascii="仿宋_GB2312" w:hAnsi="仿宋_GB2312" w:cs="仿宋_GB2312" w:eastAsia="仿宋_GB2312"/>
                <w:sz w:val="18"/>
              </w:rPr>
              <w:t>值域校验：使用《规范》的“值域代码表”（如性别代码、民族代码、病例分类代码等），确保代码与名称映射一致。</w:t>
            </w:r>
          </w:p>
          <w:p>
            <w:pPr>
              <w:pStyle w:val="null3"/>
              <w:ind w:firstLine="400"/>
              <w:jc w:val="both"/>
            </w:pPr>
            <w:r>
              <w:rPr>
                <w:rFonts w:ascii="仿宋_GB2312" w:hAnsi="仿宋_GB2312" w:cs="仿宋_GB2312" w:eastAsia="仿宋_GB2312"/>
                <w:sz w:val="18"/>
              </w:rPr>
              <w:t>数据一致性：确保HIS系统与前置软件、国家/省级平台的数据一致性，支持重复数据去重和冲突处理。</w:t>
            </w:r>
          </w:p>
          <w:p>
            <w:pPr>
              <w:pStyle w:val="null3"/>
              <w:ind w:firstLine="400"/>
              <w:jc w:val="both"/>
            </w:pPr>
            <w:r>
              <w:rPr>
                <w:rFonts w:ascii="仿宋_GB2312" w:hAnsi="仿宋_GB2312" w:cs="仿宋_GB2312" w:eastAsia="仿宋_GB2312"/>
                <w:sz w:val="18"/>
              </w:rPr>
              <w:t>4.2.2.4接口功能要求</w:t>
            </w:r>
          </w:p>
          <w:p>
            <w:pPr>
              <w:pStyle w:val="null3"/>
              <w:ind w:firstLine="400"/>
              <w:jc w:val="both"/>
            </w:pPr>
            <w:r>
              <w:rPr>
                <w:rFonts w:ascii="仿宋_GB2312" w:hAnsi="仿宋_GB2312" w:cs="仿宋_GB2312" w:eastAsia="仿宋_GB2312"/>
                <w:sz w:val="18"/>
              </w:rPr>
              <w:t>食源性疾病数据接口：实现对食源性疾病病例信息的规范上报，保证食源性疾病报告的时效性、可靠性和准确性。</w:t>
            </w:r>
          </w:p>
          <w:p>
            <w:pPr>
              <w:pStyle w:val="null3"/>
              <w:ind w:firstLine="400"/>
              <w:jc w:val="both"/>
            </w:pPr>
            <w:r>
              <w:rPr>
                <w:rFonts w:ascii="仿宋_GB2312" w:hAnsi="仿宋_GB2312" w:cs="仿宋_GB2312" w:eastAsia="仿宋_GB2312"/>
                <w:sz w:val="18"/>
              </w:rPr>
              <w:t>传染病监测预警接口：实现医院信息系统电子病历（EMR）数据与国家传染病智能监测预警前置软件的数据同步与交互应用。</w:t>
            </w:r>
          </w:p>
          <w:p>
            <w:pPr>
              <w:pStyle w:val="null3"/>
              <w:ind w:firstLine="400"/>
              <w:jc w:val="both"/>
            </w:pPr>
            <w:r>
              <w:rPr>
                <w:rFonts w:ascii="仿宋_GB2312" w:hAnsi="仿宋_GB2312" w:cs="仿宋_GB2312" w:eastAsia="仿宋_GB2312"/>
                <w:sz w:val="18"/>
              </w:rPr>
              <w:t>医保药品耗材追溯接口：实现医保药品耗材追溯码与医保结算服务的无缝对接，支持药品耗材全生命周期的精准监管。</w:t>
            </w:r>
          </w:p>
          <w:p>
            <w:pPr>
              <w:pStyle w:val="null3"/>
              <w:ind w:firstLine="400"/>
              <w:jc w:val="both"/>
            </w:pPr>
            <w:r>
              <w:rPr>
                <w:rFonts w:ascii="仿宋_GB2312" w:hAnsi="仿宋_GB2312" w:cs="仿宋_GB2312" w:eastAsia="仿宋_GB2312"/>
                <w:sz w:val="18"/>
              </w:rPr>
              <w:t>数据采集触发机制：满足国家传染病前置软件数据采集触发时机，实现数据的实时采集和传输。</w:t>
            </w:r>
          </w:p>
          <w:p>
            <w:pPr>
              <w:pStyle w:val="null3"/>
              <w:ind w:firstLine="400"/>
              <w:jc w:val="both"/>
            </w:pPr>
            <w:r>
              <w:rPr>
                <w:rFonts w:ascii="仿宋_GB2312" w:hAnsi="仿宋_GB2312" w:cs="仿宋_GB2312" w:eastAsia="仿宋_GB2312"/>
                <w:sz w:val="18"/>
              </w:rPr>
              <w:t>4.2.2.5接口性能</w:t>
            </w:r>
          </w:p>
          <w:p>
            <w:pPr>
              <w:pStyle w:val="null3"/>
              <w:ind w:firstLine="400"/>
              <w:jc w:val="both"/>
            </w:pPr>
            <w:r>
              <w:rPr>
                <w:rFonts w:ascii="仿宋_GB2312" w:hAnsi="仿宋_GB2312" w:cs="仿宋_GB2312" w:eastAsia="仿宋_GB2312"/>
                <w:sz w:val="18"/>
              </w:rPr>
              <w:t>响应时间：系统响应时间应满足业务需求，弹窗报卡应做到流畅、快捷。</w:t>
            </w:r>
          </w:p>
          <w:p>
            <w:pPr>
              <w:pStyle w:val="null3"/>
              <w:ind w:firstLine="400"/>
              <w:jc w:val="both"/>
            </w:pPr>
            <w:r>
              <w:rPr>
                <w:rFonts w:ascii="仿宋_GB2312" w:hAnsi="仿宋_GB2312" w:cs="仿宋_GB2312" w:eastAsia="仿宋_GB2312"/>
                <w:sz w:val="18"/>
              </w:rPr>
              <w:t>并发处理能力：系统应能处理高并发请求，确保在大量数据传输时的系统稳定性。</w:t>
            </w:r>
          </w:p>
          <w:p>
            <w:pPr>
              <w:pStyle w:val="null3"/>
              <w:ind w:firstLine="400"/>
              <w:jc w:val="both"/>
            </w:pPr>
            <w:r>
              <w:rPr>
                <w:rFonts w:ascii="仿宋_GB2312" w:hAnsi="仿宋_GB2312" w:cs="仿宋_GB2312" w:eastAsia="仿宋_GB2312"/>
                <w:sz w:val="18"/>
              </w:rPr>
              <w:t>数据处理效率：支持批量数据处理，提高数据采集和传输效率。</w:t>
            </w:r>
          </w:p>
          <w:p>
            <w:pPr>
              <w:pStyle w:val="null3"/>
              <w:ind w:firstLine="402"/>
              <w:jc w:val="both"/>
            </w:pPr>
            <w:r>
              <w:rPr>
                <w:rFonts w:ascii="仿宋_GB2312" w:hAnsi="仿宋_GB2312" w:cs="仿宋_GB2312" w:eastAsia="仿宋_GB2312"/>
                <w:sz w:val="18"/>
                <w:b/>
              </w:rPr>
              <w:t>4.2.3网络与安全要求</w:t>
            </w:r>
          </w:p>
          <w:p>
            <w:pPr>
              <w:pStyle w:val="null3"/>
              <w:ind w:firstLine="400"/>
              <w:jc w:val="both"/>
            </w:pPr>
            <w:r>
              <w:rPr>
                <w:rFonts w:ascii="仿宋_GB2312" w:hAnsi="仿宋_GB2312" w:cs="仿宋_GB2312" w:eastAsia="仿宋_GB2312"/>
                <w:sz w:val="18"/>
              </w:rPr>
              <w:t xml:space="preserve">4.2.3.1 网络部署  </w:t>
            </w:r>
          </w:p>
          <w:p>
            <w:pPr>
              <w:pStyle w:val="null3"/>
              <w:ind w:firstLine="400"/>
              <w:jc w:val="both"/>
            </w:pPr>
            <w:r>
              <w:rPr>
                <w:rFonts w:ascii="仿宋_GB2312" w:hAnsi="仿宋_GB2312" w:cs="仿宋_GB2312" w:eastAsia="仿宋_GB2312"/>
                <w:sz w:val="18"/>
              </w:rPr>
              <w:t xml:space="preserve">在医院前置机部署微服务组件，开放指定URL端口，确保与省级/国家平台网络连通。  </w:t>
            </w:r>
          </w:p>
          <w:p>
            <w:pPr>
              <w:pStyle w:val="null3"/>
              <w:ind w:firstLine="400"/>
              <w:jc w:val="both"/>
            </w:pPr>
            <w:r>
              <w:rPr>
                <w:rFonts w:ascii="仿宋_GB2312" w:hAnsi="仿宋_GB2312" w:cs="仿宋_GB2312" w:eastAsia="仿宋_GB2312"/>
                <w:sz w:val="18"/>
              </w:rPr>
              <w:t xml:space="preserve">支持NAT映射或专线连接，保障数据传输稳定性。  </w:t>
            </w:r>
          </w:p>
          <w:p>
            <w:pPr>
              <w:pStyle w:val="null3"/>
              <w:ind w:firstLine="400"/>
              <w:jc w:val="both"/>
            </w:pPr>
            <w:r>
              <w:rPr>
                <w:rFonts w:ascii="仿宋_GB2312" w:hAnsi="仿宋_GB2312" w:cs="仿宋_GB2312" w:eastAsia="仿宋_GB2312"/>
                <w:sz w:val="18"/>
              </w:rPr>
              <w:t xml:space="preserve">4.2.3.2 安全机制  </w:t>
            </w:r>
          </w:p>
          <w:p>
            <w:pPr>
              <w:pStyle w:val="null3"/>
              <w:ind w:firstLine="400"/>
              <w:jc w:val="both"/>
            </w:pPr>
            <w:r>
              <w:rPr>
                <w:rFonts w:ascii="仿宋_GB2312" w:hAnsi="仿宋_GB2312" w:cs="仿宋_GB2312" w:eastAsia="仿宋_GB2312"/>
                <w:sz w:val="18"/>
              </w:rPr>
              <w:t xml:space="preserve">身份认证：使用API密钥或Token验证。  </w:t>
            </w:r>
          </w:p>
          <w:p>
            <w:pPr>
              <w:pStyle w:val="null3"/>
              <w:ind w:firstLine="400"/>
              <w:jc w:val="both"/>
            </w:pPr>
            <w:r>
              <w:rPr>
                <w:rFonts w:ascii="仿宋_GB2312" w:hAnsi="仿宋_GB2312" w:cs="仿宋_GB2312" w:eastAsia="仿宋_GB2312"/>
                <w:sz w:val="18"/>
              </w:rPr>
              <w:t xml:space="preserve">数据加密：传输层采用TLS 1.2及以上加密，敏感数据（如身份证号、病历信息）需加密存储与传输。  </w:t>
            </w:r>
          </w:p>
          <w:p>
            <w:pPr>
              <w:pStyle w:val="null3"/>
              <w:ind w:firstLine="400"/>
              <w:jc w:val="both"/>
            </w:pPr>
            <w:r>
              <w:rPr>
                <w:rFonts w:ascii="仿宋_GB2312" w:hAnsi="仿宋_GB2312" w:cs="仿宋_GB2312" w:eastAsia="仿宋_GB2312"/>
                <w:sz w:val="18"/>
              </w:rPr>
              <w:t>合规性：符合《健康医疗数据安全指南》（GB/T 39725-2020），确保患者隐私数据脱敏处理。</w:t>
            </w:r>
          </w:p>
          <w:p>
            <w:pPr>
              <w:pStyle w:val="null3"/>
              <w:ind w:firstLine="402"/>
              <w:jc w:val="both"/>
            </w:pPr>
            <w:r>
              <w:rPr>
                <w:rFonts w:ascii="仿宋_GB2312" w:hAnsi="仿宋_GB2312" w:cs="仿宋_GB2312" w:eastAsia="仿宋_GB2312"/>
                <w:sz w:val="18"/>
                <w:b/>
              </w:rPr>
              <w:t>4.2.4测试与验收</w:t>
            </w:r>
          </w:p>
          <w:p>
            <w:pPr>
              <w:pStyle w:val="null3"/>
              <w:ind w:firstLine="400"/>
              <w:jc w:val="both"/>
            </w:pPr>
            <w:r>
              <w:rPr>
                <w:rFonts w:ascii="仿宋_GB2312" w:hAnsi="仿宋_GB2312" w:cs="仿宋_GB2312" w:eastAsia="仿宋_GB2312"/>
                <w:sz w:val="18"/>
              </w:rPr>
              <w:t xml:space="preserve">4.2.4.1联调测试  </w:t>
            </w:r>
          </w:p>
          <w:p>
            <w:pPr>
              <w:pStyle w:val="null3"/>
              <w:ind w:firstLine="400"/>
              <w:jc w:val="both"/>
            </w:pPr>
            <w:r>
              <w:rPr>
                <w:rFonts w:ascii="仿宋_GB2312" w:hAnsi="仿宋_GB2312" w:cs="仿宋_GB2312" w:eastAsia="仿宋_GB2312"/>
                <w:sz w:val="18"/>
              </w:rPr>
              <w:t xml:space="preserve">与医院HIS系统完成接口联调，验证数据传输的准确性。  </w:t>
            </w:r>
          </w:p>
          <w:p>
            <w:pPr>
              <w:pStyle w:val="null3"/>
              <w:ind w:firstLine="400"/>
              <w:jc w:val="both"/>
            </w:pPr>
            <w:r>
              <w:rPr>
                <w:rFonts w:ascii="仿宋_GB2312" w:hAnsi="仿宋_GB2312" w:cs="仿宋_GB2312" w:eastAsia="仿宋_GB2312"/>
                <w:sz w:val="18"/>
              </w:rPr>
              <w:t xml:space="preserve">模拟不同场景（如确诊病例上报、标本检测结果同步），测试接口响应时间（≤3秒）和稳定性。  </w:t>
            </w:r>
          </w:p>
          <w:p>
            <w:pPr>
              <w:pStyle w:val="null3"/>
              <w:ind w:firstLine="400"/>
              <w:jc w:val="both"/>
            </w:pPr>
            <w:r>
              <w:rPr>
                <w:rFonts w:ascii="仿宋_GB2312" w:hAnsi="仿宋_GB2312" w:cs="仿宋_GB2312" w:eastAsia="仿宋_GB2312"/>
                <w:sz w:val="18"/>
              </w:rPr>
              <w:t xml:space="preserve">4.2.4.2验收标准  </w:t>
            </w:r>
          </w:p>
          <w:p>
            <w:pPr>
              <w:pStyle w:val="null3"/>
              <w:ind w:firstLine="400"/>
              <w:jc w:val="both"/>
            </w:pPr>
            <w:r>
              <w:rPr>
                <w:rFonts w:ascii="仿宋_GB2312" w:hAnsi="仿宋_GB2312" w:cs="仿宋_GB2312" w:eastAsia="仿宋_GB2312"/>
                <w:sz w:val="18"/>
              </w:rPr>
              <w:t xml:space="preserve">必选接口覆盖率100%，可选接口覆盖率≥80%。  </w:t>
            </w:r>
          </w:p>
          <w:p>
            <w:pPr>
              <w:pStyle w:val="null3"/>
              <w:ind w:firstLine="400"/>
              <w:jc w:val="both"/>
            </w:pPr>
            <w:r>
              <w:rPr>
                <w:rFonts w:ascii="仿宋_GB2312" w:hAnsi="仿宋_GB2312" w:cs="仿宋_GB2312" w:eastAsia="仿宋_GB2312"/>
                <w:sz w:val="18"/>
              </w:rPr>
              <w:t xml:space="preserve">数据准确率≥99%，错误率≤0.1%。  </w:t>
            </w:r>
          </w:p>
          <w:p>
            <w:pPr>
              <w:pStyle w:val="null3"/>
              <w:ind w:firstLine="400"/>
              <w:jc w:val="both"/>
            </w:pPr>
            <w:r>
              <w:rPr>
                <w:rFonts w:ascii="仿宋_GB2312" w:hAnsi="仿宋_GB2312" w:cs="仿宋_GB2312" w:eastAsia="仿宋_GB2312"/>
                <w:sz w:val="18"/>
              </w:rPr>
              <w:t>满足国家及省级平台的实时对接要求，如传染病数据上报延迟≤1小时。</w:t>
            </w:r>
          </w:p>
          <w:p>
            <w:pPr>
              <w:pStyle w:val="null3"/>
              <w:ind w:firstLine="402"/>
              <w:jc w:val="both"/>
            </w:pPr>
            <w:r>
              <w:rPr>
                <w:rFonts w:ascii="仿宋_GB2312" w:hAnsi="仿宋_GB2312" w:cs="仿宋_GB2312" w:eastAsia="仿宋_GB2312"/>
                <w:sz w:val="18"/>
                <w:b/>
              </w:rPr>
              <w:t>4.2.5服务支持与维护</w:t>
            </w:r>
          </w:p>
          <w:p>
            <w:pPr>
              <w:pStyle w:val="null3"/>
              <w:ind w:firstLine="400"/>
              <w:jc w:val="both"/>
            </w:pPr>
            <w:r>
              <w:rPr>
                <w:rFonts w:ascii="仿宋_GB2312" w:hAnsi="仿宋_GB2312" w:cs="仿宋_GB2312" w:eastAsia="仿宋_GB2312"/>
                <w:sz w:val="18"/>
              </w:rPr>
              <w:t xml:space="preserve">4.2.5.1 技术支持  </w:t>
            </w:r>
          </w:p>
          <w:p>
            <w:pPr>
              <w:pStyle w:val="null3"/>
              <w:ind w:firstLine="400"/>
              <w:jc w:val="both"/>
            </w:pPr>
            <w:r>
              <w:rPr>
                <w:rFonts w:ascii="仿宋_GB2312" w:hAnsi="仿宋_GB2312" w:cs="仿宋_GB2312" w:eastAsia="仿宋_GB2312"/>
                <w:sz w:val="18"/>
              </w:rPr>
              <w:t xml:space="preserve">提供7×24小时故障响应，确保接口中断修复时间≤4小时。  </w:t>
            </w:r>
          </w:p>
          <w:p>
            <w:pPr>
              <w:pStyle w:val="null3"/>
              <w:ind w:firstLine="400"/>
              <w:jc w:val="both"/>
            </w:pPr>
            <w:r>
              <w:rPr>
                <w:rFonts w:ascii="仿宋_GB2312" w:hAnsi="仿宋_GB2312" w:cs="仿宋_GB2312" w:eastAsia="仿宋_GB2312"/>
                <w:sz w:val="18"/>
              </w:rPr>
              <w:t xml:space="preserve">定期优化接口性能，适应医院数据量增长。  </w:t>
            </w:r>
          </w:p>
          <w:p>
            <w:pPr>
              <w:pStyle w:val="null3"/>
              <w:ind w:firstLine="400"/>
              <w:jc w:val="both"/>
            </w:pPr>
            <w:r>
              <w:rPr>
                <w:rFonts w:ascii="仿宋_GB2312" w:hAnsi="仿宋_GB2312" w:cs="仿宋_GB2312" w:eastAsia="仿宋_GB2312"/>
                <w:sz w:val="18"/>
              </w:rPr>
              <w:t xml:space="preserve">4.2.5.2升级维护  </w:t>
            </w:r>
          </w:p>
          <w:p>
            <w:pPr>
              <w:pStyle w:val="null3"/>
              <w:ind w:firstLine="400"/>
              <w:jc w:val="both"/>
            </w:pPr>
            <w:r>
              <w:rPr>
                <w:rFonts w:ascii="仿宋_GB2312" w:hAnsi="仿宋_GB2312" w:cs="仿宋_GB2312" w:eastAsia="仿宋_GB2312"/>
                <w:sz w:val="18"/>
              </w:rPr>
              <w:t xml:space="preserve">支持国家/省级平台规则变更（如校验规则、字段调整）的无缝升级，无需大规模修改HIS系统。  </w:t>
            </w:r>
          </w:p>
          <w:p>
            <w:pPr>
              <w:pStyle w:val="null3"/>
              <w:ind w:firstLine="400"/>
              <w:jc w:val="both"/>
            </w:pPr>
            <w:r>
              <w:rPr>
                <w:rFonts w:ascii="仿宋_GB2312" w:hAnsi="仿宋_GB2312" w:cs="仿宋_GB2312" w:eastAsia="仿宋_GB2312"/>
                <w:sz w:val="18"/>
              </w:rPr>
              <w:t>提供接口文档、开发示例代码及培训服务，确保医院技术团队可独立进行二次开发。</w:t>
            </w:r>
          </w:p>
          <w:p>
            <w:pPr>
              <w:pStyle w:val="null3"/>
              <w:ind w:firstLine="400"/>
              <w:jc w:val="both"/>
            </w:pPr>
            <w:r>
              <w:rPr>
                <w:rFonts w:ascii="仿宋_GB2312" w:hAnsi="仿宋_GB2312" w:cs="仿宋_GB2312" w:eastAsia="仿宋_GB2312"/>
                <w:sz w:val="18"/>
                <w:b/>
              </w:rPr>
              <w:t>4.2.6其他要求</w:t>
            </w:r>
          </w:p>
          <w:p>
            <w:pPr>
              <w:pStyle w:val="null3"/>
              <w:ind w:firstLine="400"/>
              <w:jc w:val="both"/>
            </w:pPr>
            <w:r>
              <w:rPr>
                <w:rFonts w:ascii="仿宋_GB2312" w:hAnsi="仿宋_GB2312" w:cs="仿宋_GB2312" w:eastAsia="仿宋_GB2312"/>
                <w:sz w:val="18"/>
              </w:rPr>
              <w:t xml:space="preserve">需承诺遵守国家及地方医疗数据相关法规，如《传染病防治法》《医疗质量管理办法》。  </w:t>
            </w:r>
          </w:p>
          <w:p>
            <w:pPr>
              <w:pStyle w:val="null3"/>
              <w:jc w:val="both"/>
            </w:pPr>
            <w:r>
              <w:rPr>
                <w:rFonts w:ascii="仿宋_GB2312" w:hAnsi="仿宋_GB2312" w:cs="仿宋_GB2312" w:eastAsia="仿宋_GB2312"/>
                <w:sz w:val="18"/>
              </w:rPr>
              <w:t xml:space="preserve">   提供接口调用日志审计功能，支持至少6个月的日志存储与查询。</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项目按合同验收标准合格且收到发票后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3.4其他要求 采购包1： 为顺利推进本项目政府采购工作，供应商须在陕西省政府采购电子化交易平台上传电子版响应文件并完成签章、加密，同时，线下递交纸质版响应文件正本一份、副本二份。若电子版响应文件与纸质版响应文件不一致的，以陕西省政府采购电子化交易平台上传的电子版响应文件为准。纸质版响应文件递交截止时间同开标截止时间，递交地点为西安市唐延路37号class公馆B栋1103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开标前三个月内基本开户银行出具的资信证明，或信用担保机构出具的响应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定代表人身份证明书及身份证；授权代表参加协商的，须出具法定代表人授权书及授权代表身份证（被授权人需提供文件递交截止时间前六个月内任意一个月的社会保障资金的缴纳证明或本单位劳动合同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非联合体协商</w:t>
            </w:r>
          </w:p>
        </w:tc>
        <w:tc>
          <w:tcPr>
            <w:tcW w:type="dxa" w:w="3322"/>
          </w:tcPr>
          <w:p>
            <w:pPr>
              <w:pStyle w:val="null3"/>
            </w:pPr>
            <w:r>
              <w:rPr>
                <w:rFonts w:ascii="仿宋_GB2312" w:hAnsi="仿宋_GB2312" w:cs="仿宋_GB2312" w:eastAsia="仿宋_GB2312"/>
              </w:rPr>
              <w:t>本项目不接受联合体协商。</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业绩统计表.docx 标的清单 保证金缴纳凭证.docx 响应函 商务偏离表.docx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协商文件商务条款</w:t>
            </w:r>
          </w:p>
        </w:tc>
        <w:tc>
          <w:tcPr>
            <w:tcW w:type="dxa" w:w="3322"/>
          </w:tcPr>
          <w:p>
            <w:pPr>
              <w:pStyle w:val="null3"/>
            </w:pPr>
            <w:r>
              <w:rPr>
                <w:rFonts w:ascii="仿宋_GB2312" w:hAnsi="仿宋_GB2312" w:cs="仿宋_GB2312" w:eastAsia="仿宋_GB2312"/>
              </w:rPr>
              <w:t>响应协商文件商务条款，无重大保留或偏差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供应商服务须完全满足采购文件要求，否则其响应文件作为无效处理。</w:t>
            </w:r>
          </w:p>
        </w:tc>
        <w:tc>
          <w:tcPr>
            <w:tcW w:type="dxa" w:w="1661"/>
          </w:tcPr>
          <w:p>
            <w:pPr>
              <w:pStyle w:val="null3"/>
            </w:pPr>
            <w:r>
              <w:rPr>
                <w:rFonts w:ascii="仿宋_GB2312" w:hAnsi="仿宋_GB2312" w:cs="仿宋_GB2312" w:eastAsia="仿宋_GB2312"/>
              </w:rPr>
              <w:t>服务偏离表.docx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无不符合法律法规或采购文件规定的投标无效条款</w:t>
            </w:r>
          </w:p>
        </w:tc>
        <w:tc>
          <w:tcPr>
            <w:tcW w:type="dxa" w:w="1661"/>
          </w:tcPr>
          <w:p>
            <w:pPr>
              <w:pStyle w:val="null3"/>
            </w:pPr>
            <w:r>
              <w:rPr>
                <w:rFonts w:ascii="仿宋_GB2312" w:hAnsi="仿宋_GB2312" w:cs="仿宋_GB2312" w:eastAsia="仿宋_GB2312"/>
              </w:rPr>
              <w:t>报价一览表.docx 供应商认为有必要说明的其他资料.docx 中小企业声明函 报价表 服务偏离表.docx 资格证明文件.docx 供应商承诺书.docx 响应文件封面 分项报价表.docx 残疾人福利性单位声明函 业绩统计表.docx 标的清单 保证金缴纳凭证.docx 响应函 商务偏离表.docx 服务方案.docx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