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3BE8A1">
      <w:pPr>
        <w:spacing w:line="360" w:lineRule="auto"/>
        <w:jc w:val="cente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政府采购供应商拒绝政府采购领域商业贿赂承诺书</w:t>
      </w:r>
    </w:p>
    <w:p w14:paraId="2E88720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为响应党中央、国务院关于治理政府采购领域商业贿赂行为的号召，我单位在此庄严承诺：</w:t>
      </w:r>
    </w:p>
    <w:p w14:paraId="6FA19A57">
      <w:pPr>
        <w:numPr>
          <w:ilvl w:val="0"/>
          <w:numId w:val="2"/>
        </w:num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在参与政府采购活动中遵纪守法、诚信经营、公平竞标。</w:t>
      </w:r>
    </w:p>
    <w:p w14:paraId="79CA6FE5">
      <w:pPr>
        <w:numPr>
          <w:ilvl w:val="0"/>
          <w:numId w:val="2"/>
        </w:num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不向采购人、采购代理机构和政府采购评审专家进行任何形式的商业贿赂以谋取交易机会。</w:t>
      </w:r>
    </w:p>
    <w:p w14:paraId="6E99AF3C">
      <w:pPr>
        <w:numPr>
          <w:ilvl w:val="0"/>
          <w:numId w:val="2"/>
        </w:num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不向采购代理机构和采购人提供虚假资质文件或采用虚假应标方式参与政府采购市场竞争并谋取成交、成交。</w:t>
      </w:r>
    </w:p>
    <w:p w14:paraId="09BE492C">
      <w:pPr>
        <w:numPr>
          <w:ilvl w:val="0"/>
          <w:numId w:val="2"/>
        </w:num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不采取“围标、陪标”等商业欺诈手段获得政府采购</w:t>
      </w:r>
      <w:r>
        <w:rPr>
          <w:rFonts w:hint="eastAsia" w:ascii="宋体" w:hAnsi="宋体" w:eastAsia="宋体" w:cs="宋体"/>
          <w:sz w:val="24"/>
          <w:szCs w:val="24"/>
          <w:highlight w:val="none"/>
          <w:lang w:eastAsia="zh-CN"/>
        </w:rPr>
        <w:t>订单</w:t>
      </w:r>
      <w:r>
        <w:rPr>
          <w:rFonts w:hint="eastAsia" w:ascii="宋体" w:hAnsi="宋体" w:eastAsia="宋体" w:cs="宋体"/>
          <w:sz w:val="24"/>
          <w:szCs w:val="24"/>
          <w:highlight w:val="none"/>
        </w:rPr>
        <w:t>。</w:t>
      </w:r>
    </w:p>
    <w:p w14:paraId="24CFDE1E">
      <w:pPr>
        <w:numPr>
          <w:ilvl w:val="0"/>
          <w:numId w:val="2"/>
        </w:num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不采取不正当手段</w:t>
      </w:r>
      <w:r>
        <w:rPr>
          <w:rFonts w:hint="eastAsia" w:ascii="宋体" w:hAnsi="宋体" w:eastAsia="宋体" w:cs="宋体"/>
          <w:sz w:val="24"/>
          <w:szCs w:val="24"/>
          <w:highlight w:val="none"/>
          <w:lang w:eastAsia="zh-CN"/>
        </w:rPr>
        <w:t>诋毁</w:t>
      </w:r>
      <w:r>
        <w:rPr>
          <w:rFonts w:hint="eastAsia" w:ascii="宋体" w:hAnsi="宋体" w:eastAsia="宋体" w:cs="宋体"/>
          <w:sz w:val="24"/>
          <w:szCs w:val="24"/>
          <w:highlight w:val="none"/>
        </w:rPr>
        <w:t>、排挤其他供应商。</w:t>
      </w:r>
    </w:p>
    <w:p w14:paraId="3D5A4700">
      <w:pPr>
        <w:numPr>
          <w:ilvl w:val="0"/>
          <w:numId w:val="2"/>
        </w:num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不再提供</w:t>
      </w:r>
      <w:r>
        <w:rPr>
          <w:rFonts w:hint="eastAsia" w:ascii="宋体" w:hAnsi="宋体" w:eastAsia="宋体" w:cs="宋体"/>
          <w:sz w:val="24"/>
          <w:szCs w:val="24"/>
          <w:highlight w:val="none"/>
        </w:rPr>
        <w:t>商品和服务时“偷梁换柱、以次充好”损害采购人的合法权益。</w:t>
      </w:r>
    </w:p>
    <w:p w14:paraId="2F8206F6">
      <w:pPr>
        <w:numPr>
          <w:ilvl w:val="0"/>
          <w:numId w:val="2"/>
        </w:num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不与采购人、采购代理机构、政府采购评审专家</w:t>
      </w:r>
      <w:r>
        <w:rPr>
          <w:rFonts w:hint="eastAsia" w:ascii="宋体" w:hAnsi="宋体" w:eastAsia="宋体" w:cs="宋体"/>
          <w:sz w:val="24"/>
          <w:szCs w:val="24"/>
          <w:highlight w:val="none"/>
          <w:lang w:eastAsia="zh-CN"/>
        </w:rPr>
        <w:t>或其他</w:t>
      </w:r>
      <w:r>
        <w:rPr>
          <w:rFonts w:hint="eastAsia" w:ascii="宋体" w:hAnsi="宋体" w:eastAsia="宋体" w:cs="宋体"/>
          <w:sz w:val="24"/>
          <w:szCs w:val="24"/>
          <w:highlight w:val="none"/>
        </w:rPr>
        <w:t>供应商恶意串通，进行质疑和投诉，维护政府采购市场秩序。</w:t>
      </w:r>
    </w:p>
    <w:p w14:paraId="1739A245">
      <w:pPr>
        <w:numPr>
          <w:ilvl w:val="0"/>
          <w:numId w:val="2"/>
        </w:num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尊重和接受政府采购监督管理部门的监督和采购代理机构的招标要求，承担因违约行为给采购人造成的损失。</w:t>
      </w:r>
    </w:p>
    <w:p w14:paraId="057A46B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9、不发生其他有悖于政府采购公开、公平、公正和诚信原则的行为。</w:t>
      </w:r>
    </w:p>
    <w:p w14:paraId="5796EBFA">
      <w:pPr>
        <w:widowControl/>
        <w:tabs>
          <w:tab w:val="left" w:pos="2394"/>
        </w:tabs>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承诺单位：</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（公      章）</w:t>
      </w:r>
    </w:p>
    <w:p w14:paraId="2DA3B1FD">
      <w:pPr>
        <w:widowControl/>
        <w:tabs>
          <w:tab w:val="left" w:pos="2394"/>
        </w:tabs>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全权代表：</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（签字或盖章）</w:t>
      </w:r>
    </w:p>
    <w:p w14:paraId="6C1C987E">
      <w:pPr>
        <w:widowControl/>
        <w:tabs>
          <w:tab w:val="left" w:pos="2394"/>
        </w:tabs>
        <w:spacing w:line="360" w:lineRule="auto"/>
        <w:ind w:firstLine="480" w:firstLineChars="200"/>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地    址：</w:t>
      </w:r>
      <w:r>
        <w:rPr>
          <w:rFonts w:hint="eastAsia" w:ascii="宋体" w:hAnsi="宋体" w:eastAsia="宋体" w:cs="宋体"/>
          <w:kern w:val="0"/>
          <w:sz w:val="24"/>
          <w:szCs w:val="24"/>
          <w:highlight w:val="none"/>
          <w:u w:val="single"/>
        </w:rPr>
        <w:t xml:space="preserve">                               </w:t>
      </w:r>
    </w:p>
    <w:p w14:paraId="61E82D1B">
      <w:pPr>
        <w:widowControl/>
        <w:tabs>
          <w:tab w:val="left" w:pos="2394"/>
        </w:tabs>
        <w:spacing w:line="360" w:lineRule="auto"/>
        <w:ind w:firstLine="480" w:firstLineChars="200"/>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邮    编：</w:t>
      </w:r>
      <w:r>
        <w:rPr>
          <w:rFonts w:hint="eastAsia" w:ascii="宋体" w:hAnsi="宋体" w:eastAsia="宋体" w:cs="宋体"/>
          <w:kern w:val="0"/>
          <w:sz w:val="24"/>
          <w:szCs w:val="24"/>
          <w:highlight w:val="none"/>
          <w:u w:val="single"/>
        </w:rPr>
        <w:t xml:space="preserve">                               </w:t>
      </w:r>
    </w:p>
    <w:p w14:paraId="0AF8D678">
      <w:pPr>
        <w:tabs>
          <w:tab w:val="left" w:pos="5580"/>
        </w:tabs>
        <w:adjustRightInd w:val="0"/>
        <w:spacing w:line="360" w:lineRule="auto"/>
        <w:ind w:firstLine="480" w:firstLineChars="200"/>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电    话：</w:t>
      </w:r>
      <w:r>
        <w:rPr>
          <w:rFonts w:hint="eastAsia" w:ascii="宋体" w:hAnsi="宋体" w:eastAsia="宋体" w:cs="宋体"/>
          <w:kern w:val="0"/>
          <w:sz w:val="24"/>
          <w:szCs w:val="24"/>
          <w:highlight w:val="none"/>
          <w:u w:val="single"/>
        </w:rPr>
        <w:t xml:space="preserve">                               </w:t>
      </w:r>
    </w:p>
    <w:p w14:paraId="722000A3">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BCE3AF"/>
    <w:multiLevelType w:val="multilevel"/>
    <w:tmpl w:val="96BCE3AF"/>
    <w:lvl w:ilvl="0" w:tentative="0">
      <w:start w:val="1"/>
      <w:numFmt w:val="decimal"/>
      <w:lvlText w:val="%1."/>
      <w:lvlJc w:val="left"/>
      <w:pPr>
        <w:ind w:left="432" w:hanging="432"/>
      </w:pPr>
      <w:rPr>
        <w:rFonts w:hint="default" w:ascii="宋体" w:hAnsi="宋体" w:eastAsia="宋体" w:cs="宋体"/>
      </w:rPr>
    </w:lvl>
    <w:lvl w:ilvl="1" w:tentative="0">
      <w:start w:val="1"/>
      <w:numFmt w:val="decimal"/>
      <w:lvlText w:val="%1.%2."/>
      <w:lvlJc w:val="left"/>
      <w:pPr>
        <w:ind w:left="575" w:hanging="575"/>
      </w:pPr>
      <w:rPr>
        <w:rFonts w:hint="default"/>
      </w:rPr>
    </w:lvl>
    <w:lvl w:ilvl="2" w:tentative="0">
      <w:start w:val="1"/>
      <w:numFmt w:val="decimal"/>
      <w:lvlText w:val="%1.%2.%3."/>
      <w:lvlJc w:val="left"/>
      <w:pPr>
        <w:ind w:left="720" w:hanging="720"/>
      </w:pPr>
      <w:rPr>
        <w:rFonts w:hint="default" w:ascii="宋体" w:hAnsi="宋体" w:eastAsia="宋体" w:cs="宋体"/>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pStyle w:val="2"/>
      <w:lvlText w:val="%1.%2.%3.%4.%5.%6.%7.%8.%9."/>
      <w:lvlJc w:val="left"/>
      <w:pPr>
        <w:ind w:left="1583" w:hanging="1583"/>
      </w:pPr>
      <w:rPr>
        <w:rFonts w:hint="default"/>
      </w:rPr>
    </w:lvl>
  </w:abstractNum>
  <w:abstractNum w:abstractNumId="1">
    <w:nsid w:val="56650600"/>
    <w:multiLevelType w:val="singleLevel"/>
    <w:tmpl w:val="56650600"/>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59205A"/>
    <w:rsid w:val="06E33E4F"/>
    <w:rsid w:val="2659205A"/>
    <w:rsid w:val="288905F9"/>
    <w:rsid w:val="2916560E"/>
    <w:rsid w:val="52665B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qFormat/>
    <w:uiPriority w:val="0"/>
    <w:pPr>
      <w:keepNext/>
      <w:keepLines/>
      <w:spacing w:before="340" w:beforeLines="0" w:beforeAutospacing="0" w:after="330" w:afterLines="0" w:afterAutospacing="0" w:line="576" w:lineRule="auto"/>
      <w:jc w:val="center"/>
      <w:outlineLvl w:val="0"/>
    </w:pPr>
    <w:rPr>
      <w:rFonts w:ascii="Arial" w:hAnsi="Arial" w:eastAsia="黑体" w:cs="Arial"/>
      <w:b/>
      <w:snapToGrid w:val="0"/>
      <w:color w:val="000000"/>
      <w:kern w:val="44"/>
      <w:sz w:val="32"/>
      <w:szCs w:val="21"/>
    </w:rPr>
  </w:style>
  <w:style w:type="paragraph" w:styleId="4">
    <w:name w:val="heading 3"/>
    <w:basedOn w:val="1"/>
    <w:next w:val="1"/>
    <w:link w:val="7"/>
    <w:semiHidden/>
    <w:unhideWhenUsed/>
    <w:qFormat/>
    <w:uiPriority w:val="0"/>
    <w:pPr>
      <w:keepNext/>
      <w:keepLines/>
      <w:spacing w:line="360" w:lineRule="auto"/>
      <w:ind w:firstLine="643" w:firstLineChars="200"/>
      <w:outlineLvl w:val="2"/>
    </w:pPr>
    <w:rPr>
      <w:rFonts w:ascii="Times New Roman" w:hAnsi="Times New Roman" w:eastAsia="宋体" w:cs="Times New Roman"/>
      <w:b/>
      <w:bCs/>
      <w:sz w:val="24"/>
      <w:szCs w:val="32"/>
    </w:rPr>
  </w:style>
  <w:style w:type="paragraph" w:styleId="2">
    <w:name w:val="heading 9"/>
    <w:basedOn w:val="1"/>
    <w:next w:val="1"/>
    <w:unhideWhenUsed/>
    <w:qFormat/>
    <w:uiPriority w:val="0"/>
    <w:pPr>
      <w:keepNext/>
      <w:keepLines/>
      <w:numPr>
        <w:ilvl w:val="8"/>
        <w:numId w:val="1"/>
      </w:numPr>
      <w:spacing w:before="240" w:beforeLines="0" w:beforeAutospacing="0" w:after="64" w:afterLines="0" w:afterAutospacing="0" w:line="317" w:lineRule="auto"/>
      <w:ind w:left="1583" w:hanging="1583"/>
      <w:outlineLvl w:val="8"/>
    </w:pPr>
    <w:rPr>
      <w:rFonts w:ascii="Arial" w:hAnsi="Arial" w:eastAsia="黑体"/>
      <w:sz w:val="21"/>
    </w:rPr>
  </w:style>
  <w:style w:type="character" w:default="1" w:styleId="6">
    <w:name w:val="Default Paragraph Font"/>
    <w:semiHidden/>
    <w:unhideWhenUsed/>
    <w:qFormat/>
    <w:uiPriority w:val="1"/>
  </w:style>
  <w:style w:type="table" w:default="1" w:styleId="5">
    <w:name w:val="Normal Table"/>
    <w:semiHidden/>
    <w:qFormat/>
    <w:uiPriority w:val="0"/>
    <w:tblPr>
      <w:tblCellMar>
        <w:top w:w="0" w:type="dxa"/>
        <w:left w:w="108" w:type="dxa"/>
        <w:bottom w:w="0" w:type="dxa"/>
        <w:right w:w="108" w:type="dxa"/>
      </w:tblCellMar>
    </w:tblPr>
  </w:style>
  <w:style w:type="character" w:customStyle="1" w:styleId="7">
    <w:name w:val="标题 3 字符"/>
    <w:basedOn w:val="6"/>
    <w:link w:val="4"/>
    <w:semiHidden/>
    <w:qFormat/>
    <w:uiPriority w:val="9"/>
    <w:rPr>
      <w:rFonts w:ascii="Times New Roman" w:hAnsi="Times New Roman" w:eastAsia="宋体" w:cs="Times New Roman"/>
      <w:b/>
      <w:bCs/>
      <w:sz w:val="24"/>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2025-06-12T01:33:00Z</dcterms:created>
  <dc:creator>西北民航咨询王倩</dc:creator>
  <cp:lastModifiedBy>西北民航咨询王倩</cp:lastModifiedBy>
  <dcterms:modified xsi:type="dcterms:W3CDTF">2025-06-12T01:33:16Z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D5A9F94A60784BEAA1A5D7111D1381C0_11</vt:lpwstr>
  </property>
  <property fmtid="{D5CDD505-2E9C-101B-9397-08002B2CF9AE}" pid="4" name="KSOTemplateDocerSaveRecord">
    <vt:lpwstr>eyJoZGlkIjoiMjBkYTdhODA3ZjM4YjlhMTJkZDhlMTU2NTE3MGM3YWMiLCJ1c2VySWQiOiIzNjQyMTIzNzkifQ==</vt:lpwstr>
  </property>
</Properties>
</file>