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版本号：HRDL-SG[2025]-104-02020250612001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双仁府95号院变压器增容工程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HRDL-SG[2025]-104-020</w:t>
      </w:r>
      <w:r>
        <w:br/>
      </w:r>
      <w:r>
        <w:br/>
      </w:r>
      <w:r>
        <w:br/>
      </w:r>
    </w:p>
    <w:p>
      <w:pPr>
        <w:pStyle w:val="null3"/>
        <w:jc w:val="center"/>
        <w:outlineLvl w:val="2"/>
      </w:pPr>
      <w:r>
        <w:rPr>
          <w:rFonts w:ascii="仿宋_GB2312" w:hAnsi="仿宋_GB2312" w:cs="仿宋_GB2312" w:eastAsia="仿宋_GB2312"/>
          <w:sz w:val="28"/>
          <w:b/>
        </w:rPr>
        <w:t>省财政厅机关后勤服务中心</w:t>
      </w:r>
    </w:p>
    <w:p>
      <w:pPr>
        <w:pStyle w:val="null3"/>
        <w:jc w:val="center"/>
        <w:outlineLvl w:val="2"/>
      </w:pPr>
      <w:r>
        <w:rPr>
          <w:rFonts w:ascii="仿宋_GB2312" w:hAnsi="仿宋_GB2312" w:cs="仿宋_GB2312" w:eastAsia="仿宋_GB2312"/>
          <w:sz w:val="28"/>
          <w:b/>
        </w:rPr>
        <w:t>陕西恒瑞项目管理有限公司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陕西恒瑞项目管理有限公司</w:t>
      </w:r>
      <w:r>
        <w:rPr>
          <w:rFonts w:ascii="仿宋_GB2312" w:hAnsi="仿宋_GB2312" w:cs="仿宋_GB2312" w:eastAsia="仿宋_GB2312"/>
        </w:rPr>
        <w:t>（以下简称“代理机构”）受</w:t>
      </w:r>
      <w:r>
        <w:rPr>
          <w:rFonts w:ascii="仿宋_GB2312" w:hAnsi="仿宋_GB2312" w:cs="仿宋_GB2312" w:eastAsia="仿宋_GB2312"/>
        </w:rPr>
        <w:t>省财政厅机关后勤服务中心</w:t>
      </w:r>
      <w:r>
        <w:rPr>
          <w:rFonts w:ascii="仿宋_GB2312" w:hAnsi="仿宋_GB2312" w:cs="仿宋_GB2312" w:eastAsia="仿宋_GB2312"/>
        </w:rPr>
        <w:t>委托，拟对</w:t>
      </w:r>
      <w:r>
        <w:rPr>
          <w:rFonts w:ascii="仿宋_GB2312" w:hAnsi="仿宋_GB2312" w:cs="仿宋_GB2312" w:eastAsia="仿宋_GB2312"/>
        </w:rPr>
        <w:t>双仁府95号院变压器增容工程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HRDL-SG[2025]-104-020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双仁府95号院变压器增容工程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双仁府95号院变压器增容，具体详见工程量清单。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采购包1（双仁府95号院变压器增容工程）：属于专门面向中小企业采购。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资质要求：具备建设行政主管部门颁发的电力工程施工总承包三级及以上资质或输变电工程专业承包三级及以上资质，同时具备国家电力监管部门颁发的承装（修、试）电力设施许可证五级及以上资质，具有有效的安全生产许可证。供应商需在项目电子化交易系统中按要求上传相应证明文件并进行电子签章。</w:t>
      </w:r>
    </w:p>
    <w:p>
      <w:pPr>
        <w:pStyle w:val="null3"/>
      </w:pPr>
      <w:r>
        <w:rPr>
          <w:rFonts w:ascii="仿宋_GB2312" w:hAnsi="仿宋_GB2312" w:cs="仿宋_GB2312" w:eastAsia="仿宋_GB2312"/>
        </w:rPr>
        <w:t>3、项目经理（项目负责人）：具备机电工程二级及以上(含二级)注册建造师证书和建安B证，须在本单位注册，无不良信用记录，无在建工程（提供无在建工程承诺书）。供应商需在项目电子化交易系统中按要求上传相应证明文件并进行电子签章。</w:t>
      </w:r>
    </w:p>
    <w:p>
      <w:pPr>
        <w:pStyle w:val="null3"/>
      </w:pPr>
      <w:r>
        <w:rPr>
          <w:rFonts w:ascii="仿宋_GB2312" w:hAnsi="仿宋_GB2312" w:cs="仿宋_GB2312" w:eastAsia="仿宋_GB2312"/>
        </w:rPr>
        <w:t>4、参加政府采购活动前3年内在经营活动中没有重大违法记录：参加政府采购活动前3年内在经营活动中没有重大违法记录：参加政府采购活动前3年内在经营活动中没有重大违法记录；供应商需在项目电子化交易系统中按要求填写《响应函》完成承诺并进行电子签章。供应商需在项目电子化交易系统中按要求上传相应证明文件并进行电子签章。</w:t>
      </w:r>
    </w:p>
    <w:p>
      <w:pPr>
        <w:pStyle w:val="null3"/>
      </w:pPr>
      <w:r>
        <w:rPr>
          <w:rFonts w:ascii="仿宋_GB2312" w:hAnsi="仿宋_GB2312" w:cs="仿宋_GB2312" w:eastAsia="仿宋_GB2312"/>
        </w:rPr>
        <w:t>5、信用主体查询：供应商未被列入“信用中国”网站（www.creditchina.gov.cn）“失信被执行人”“重大税收违法案件当事人名单”“政府采购严重违法失信行为记录名单”；未被列入“中国政府采购网”(www.ccgp.gov.cn)政府采购严重违法失信行为记录名单(附网站截图)。供应商需在项目电子化交易系统中按要求上传相应证明文件并进行电子签章。</w:t>
      </w:r>
    </w:p>
    <w:p>
      <w:pPr>
        <w:pStyle w:val="null3"/>
      </w:pPr>
      <w:r>
        <w:rPr>
          <w:rFonts w:ascii="仿宋_GB2312" w:hAnsi="仿宋_GB2312" w:cs="仿宋_GB2312" w:eastAsia="仿宋_GB2312"/>
        </w:rPr>
        <w:t>6、财务状况报告：提供2023或2024年度经会计事务所或审计机构出具完整的财务审计报告（至少包括资产负债表和利润表，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7、社保缴纳证明：提供投标截止日前6个月内已缴存的至少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8、税收缴纳证明：提供投标截止日前6个月内已缴纳的至少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pPr>
        <w:pStyle w:val="null3"/>
      </w:pPr>
      <w:r>
        <w:rPr>
          <w:rFonts w:ascii="仿宋_GB2312" w:hAnsi="仿宋_GB2312" w:cs="仿宋_GB2312" w:eastAsia="仿宋_GB2312"/>
        </w:rPr>
        <w:t>9、法定代表人授权书：法定代表人授权书及被授权人身份证复印件（法定代表人直接参加投标只须提供法定代表人身份证明）。供应商需在项目电子化交易系统中按要求上传相应证明文件并进行电子签章。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10、本项目不接受联合体响应，不允许分包。：供应商提供《非联合体、不分包投标声明》，供应商应提交的相关资格证明材料视为独立响应，不分包；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省财政厅机关后勤服务中心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西安市莲湖区冰窖巷6号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029-68936157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陕西省西安市碑林区南二环东段南侧凯森盛世1号A座24层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18629461713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采购包1：1,725,500.00元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国家发展和改革委员会办公厅颁发的《关于招标代理服务收费有关问题的通知》（发改办价格[2003]857号）的有关规定收取。成交供应商在领取《成交通知书》前，须向采购代理机构一次性支付招标代理服务费。 开户名称：陕西恒瑞项目管理有限公司 开 户 行：农行西安雁翔路支行 账 号：26136101040001045 汇款备注：项目名称+代理服务费（可简写）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省财政厅机关后勤服务中心</w:t>
      </w:r>
      <w:r>
        <w:rPr>
          <w:rFonts w:ascii="仿宋_GB2312" w:hAnsi="仿宋_GB2312" w:cs="仿宋_GB2312" w:eastAsia="仿宋_GB2312"/>
        </w:rPr>
        <w:t>和</w:t>
      </w:r>
      <w:r>
        <w:rPr>
          <w:rFonts w:ascii="仿宋_GB2312" w:hAnsi="仿宋_GB2312" w:cs="仿宋_GB2312" w:eastAsia="仿宋_GB2312"/>
        </w:rPr>
        <w:t>陕西恒瑞项目管理有限公司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省财政厅机关后勤服务中心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省财政厅机关后勤服务中心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联系电话：18629461713</w:t>
      </w:r>
    </w:p>
    <w:p>
      <w:pPr>
        <w:pStyle w:val="null3"/>
      </w:pPr>
      <w:r>
        <w:rPr>
          <w:rFonts w:ascii="仿宋_GB2312" w:hAnsi="仿宋_GB2312" w:cs="仿宋_GB2312" w:eastAsia="仿宋_GB2312"/>
        </w:rPr>
        <w:t>地址：陕西省西安市碑林区南二环东段南侧凯森盛世1号A座24层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1,725,500.00</w:t>
      </w:r>
    </w:p>
    <w:p>
      <w:pPr>
        <w:pStyle w:val="null3"/>
      </w:pPr>
      <w:r>
        <w:rPr>
          <w:rFonts w:ascii="仿宋_GB2312" w:hAnsi="仿宋_GB2312" w:cs="仿宋_GB2312" w:eastAsia="仿宋_GB2312"/>
        </w:rPr>
        <w:t>采购包最高限价（元）: 1,725,500.00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变压器增容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1,725,500.00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标的名称：变压器增容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color w:val="000000"/>
              </w:rPr>
              <w:t>一、项目概况</w:t>
            </w:r>
          </w:p>
          <w:p>
            <w:pPr>
              <w:pStyle w:val="null3"/>
              <w:ind w:firstLine="480"/>
              <w:jc w:val="both"/>
            </w:pPr>
            <w:r>
              <w:rPr>
                <w:rFonts w:ascii="仿宋_GB2312" w:hAnsi="仿宋_GB2312" w:cs="仿宋_GB2312" w:eastAsia="仿宋_GB2312"/>
                <w:sz w:val="24"/>
                <w:color w:val="000000"/>
              </w:rPr>
              <w:t>1.建设地点：甲方指定地点</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2.建设内容</w:t>
            </w:r>
            <w:r>
              <w:rPr>
                <w:rFonts w:ascii="仿宋_GB2312" w:hAnsi="仿宋_GB2312" w:cs="仿宋_GB2312" w:eastAsia="仿宋_GB2312"/>
                <w:sz w:val="24"/>
                <w:color w:val="000000"/>
              </w:rPr>
              <w:t>：本项目为</w:t>
            </w:r>
            <w:r>
              <w:rPr>
                <w:rFonts w:ascii="仿宋_GB2312" w:hAnsi="仿宋_GB2312" w:cs="仿宋_GB2312" w:eastAsia="仿宋_GB2312"/>
                <w:sz w:val="24"/>
              </w:rPr>
              <w:t>双仁府</w:t>
            </w:r>
            <w:r>
              <w:rPr>
                <w:rFonts w:ascii="仿宋_GB2312" w:hAnsi="仿宋_GB2312" w:cs="仿宋_GB2312" w:eastAsia="仿宋_GB2312"/>
                <w:sz w:val="24"/>
              </w:rPr>
              <w:t>95号院变压器增容</w:t>
            </w:r>
            <w:r>
              <w:rPr>
                <w:rFonts w:ascii="仿宋_GB2312" w:hAnsi="仿宋_GB2312" w:cs="仿宋_GB2312" w:eastAsia="仿宋_GB2312"/>
                <w:sz w:val="24"/>
                <w:color w:val="000000"/>
              </w:rPr>
              <w:t>，具体内容见工程量清单。</w:t>
            </w:r>
          </w:p>
          <w:p>
            <w:pPr>
              <w:pStyle w:val="null3"/>
              <w:ind w:firstLine="480"/>
              <w:jc w:val="both"/>
            </w:pPr>
            <w:r>
              <w:rPr>
                <w:rFonts w:ascii="仿宋_GB2312" w:hAnsi="仿宋_GB2312" w:cs="仿宋_GB2312" w:eastAsia="仿宋_GB2312"/>
                <w:sz w:val="24"/>
                <w:color w:val="000000"/>
              </w:rPr>
              <w:t>3.需满足的要求:改善居民生活质量，提升人居环境</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二、项目最高限价：</w:t>
            </w:r>
            <w:r>
              <w:rPr>
                <w:rFonts w:ascii="仿宋_GB2312" w:hAnsi="仿宋_GB2312" w:cs="仿宋_GB2312" w:eastAsia="仿宋_GB2312"/>
                <w:sz w:val="24"/>
              </w:rPr>
              <w:t>1,725,500.00</w:t>
            </w:r>
            <w:r>
              <w:rPr>
                <w:rFonts w:ascii="仿宋_GB2312" w:hAnsi="仿宋_GB2312" w:cs="仿宋_GB2312" w:eastAsia="仿宋_GB2312"/>
                <w:sz w:val="24"/>
                <w:color w:val="000000"/>
              </w:rPr>
              <w:t>元</w:t>
            </w:r>
          </w:p>
          <w:p>
            <w:pPr>
              <w:pStyle w:val="null3"/>
              <w:jc w:val="both"/>
            </w:pPr>
            <w:r>
              <w:rPr>
                <w:rFonts w:ascii="仿宋_GB2312" w:hAnsi="仿宋_GB2312" w:cs="仿宋_GB2312" w:eastAsia="仿宋_GB2312"/>
                <w:sz w:val="24"/>
                <w:b/>
                <w:color w:val="000000"/>
              </w:rPr>
              <w:t>三、编制依据</w:t>
            </w:r>
          </w:p>
          <w:p>
            <w:pPr>
              <w:pStyle w:val="null3"/>
              <w:ind w:firstLine="480"/>
              <w:jc w:val="both"/>
            </w:pPr>
            <w:r>
              <w:rPr>
                <w:rFonts w:ascii="仿宋_GB2312" w:hAnsi="仿宋_GB2312" w:cs="仿宋_GB2312" w:eastAsia="仿宋_GB2312"/>
                <w:sz w:val="24"/>
              </w:rPr>
              <w:t>1.施工图纸中有关本次修缮范围内的内容；</w:t>
            </w:r>
          </w:p>
          <w:p>
            <w:pPr>
              <w:pStyle w:val="null3"/>
              <w:ind w:firstLine="480"/>
              <w:jc w:val="both"/>
            </w:pPr>
            <w:r>
              <w:rPr>
                <w:rFonts w:ascii="仿宋_GB2312" w:hAnsi="仿宋_GB2312" w:cs="仿宋_GB2312" w:eastAsia="仿宋_GB2312"/>
                <w:sz w:val="24"/>
              </w:rPr>
              <w:t>2.《陕西省建设工程工程量清单计价规则》（2009）、《陕西省建设工程工程量清单计价费率》（2009）；</w:t>
            </w:r>
          </w:p>
          <w:p>
            <w:pPr>
              <w:pStyle w:val="null3"/>
              <w:ind w:firstLine="480"/>
              <w:jc w:val="both"/>
            </w:pPr>
            <w:r>
              <w:rPr>
                <w:rFonts w:ascii="仿宋_GB2312" w:hAnsi="仿宋_GB2312" w:cs="仿宋_GB2312" w:eastAsia="仿宋_GB2312"/>
                <w:sz w:val="24"/>
              </w:rPr>
              <w:t>3.《陕西省建筑、装饰工程消耗量定额》（2004）、《陕西省安装工程消耗量定额》（2004）；</w:t>
            </w:r>
          </w:p>
          <w:p>
            <w:pPr>
              <w:pStyle w:val="null3"/>
              <w:ind w:firstLine="480"/>
              <w:jc w:val="both"/>
            </w:pPr>
            <w:r>
              <w:rPr>
                <w:rFonts w:ascii="仿宋_GB2312" w:hAnsi="仿宋_GB2312" w:cs="仿宋_GB2312" w:eastAsia="仿宋_GB2312"/>
                <w:sz w:val="24"/>
              </w:rPr>
              <w:t>4.2009年《陕西省建筑、装饰、安装、市政、园林绿化价目表》及项目相关配套2009费率表、2009年《陕西省建设工程施工机械台班价目表》、2009年《陕西省建设工程消耗量定额勘误及补充定额》；</w:t>
            </w:r>
          </w:p>
          <w:p>
            <w:pPr>
              <w:pStyle w:val="null3"/>
              <w:ind w:firstLine="480"/>
              <w:jc w:val="both"/>
            </w:pPr>
            <w:r>
              <w:rPr>
                <w:rFonts w:ascii="仿宋_GB2312" w:hAnsi="仿宋_GB2312" w:cs="仿宋_GB2312" w:eastAsia="仿宋_GB2312"/>
                <w:sz w:val="24"/>
              </w:rPr>
              <w:t>5.正常施工组织设计及施工方法；</w:t>
            </w:r>
          </w:p>
          <w:p>
            <w:pPr>
              <w:pStyle w:val="null3"/>
              <w:ind w:firstLine="480"/>
              <w:jc w:val="both"/>
            </w:pPr>
            <w:r>
              <w:rPr>
                <w:rFonts w:ascii="仿宋_GB2312" w:hAnsi="仿宋_GB2312" w:cs="仿宋_GB2312" w:eastAsia="仿宋_GB2312"/>
                <w:sz w:val="24"/>
              </w:rPr>
              <w:t>6.施工规范及验收规范；</w:t>
            </w:r>
          </w:p>
          <w:p>
            <w:pPr>
              <w:pStyle w:val="null3"/>
              <w:ind w:firstLine="480"/>
              <w:jc w:val="both"/>
            </w:pPr>
            <w:r>
              <w:rPr>
                <w:rFonts w:ascii="仿宋_GB2312" w:hAnsi="仿宋_GB2312" w:cs="仿宋_GB2312" w:eastAsia="仿宋_GB2312"/>
                <w:sz w:val="24"/>
              </w:rPr>
              <w:t>7.施工设计图中选用的相关标准图集。</w:t>
            </w:r>
          </w:p>
          <w:p>
            <w:pPr>
              <w:pStyle w:val="null3"/>
              <w:ind w:firstLine="480"/>
              <w:jc w:val="both"/>
            </w:pPr>
            <w:r>
              <w:rPr>
                <w:rFonts w:ascii="仿宋_GB2312" w:hAnsi="仿宋_GB2312" w:cs="仿宋_GB2312" w:eastAsia="仿宋_GB2312"/>
                <w:sz w:val="24"/>
                <w:b/>
              </w:rPr>
              <w:t>四、计价说明</w:t>
            </w:r>
          </w:p>
          <w:p>
            <w:pPr>
              <w:pStyle w:val="null3"/>
              <w:ind w:firstLine="480"/>
              <w:jc w:val="both"/>
            </w:pPr>
            <w:r>
              <w:rPr>
                <w:rFonts w:ascii="仿宋_GB2312" w:hAnsi="仿宋_GB2312" w:cs="仿宋_GB2312" w:eastAsia="仿宋_GB2312"/>
                <w:sz w:val="24"/>
              </w:rPr>
              <w:t>1.计价依据按照《关于调整陕西省建设工程计价依据的通知》陕建发【2019】45号文调整；</w:t>
            </w:r>
          </w:p>
          <w:p>
            <w:pPr>
              <w:pStyle w:val="null3"/>
              <w:ind w:firstLine="480"/>
              <w:jc w:val="both"/>
            </w:pPr>
            <w:r>
              <w:rPr>
                <w:rFonts w:ascii="仿宋_GB2312" w:hAnsi="仿宋_GB2312" w:cs="仿宋_GB2312" w:eastAsia="仿宋_GB2312"/>
                <w:sz w:val="24"/>
              </w:rPr>
              <w:t>2.安全文明措施费按照《关于增加建设工程扬尘治理专项措施费及综合人工单价调整的通知》陕建发【2017】270号文，增加建设工程扬尘治理专项措施费；</w:t>
            </w:r>
          </w:p>
          <w:p>
            <w:pPr>
              <w:pStyle w:val="null3"/>
              <w:ind w:firstLine="480"/>
              <w:jc w:val="both"/>
            </w:pPr>
            <w:r>
              <w:rPr>
                <w:rFonts w:ascii="仿宋_GB2312" w:hAnsi="仿宋_GB2312" w:cs="仿宋_GB2312" w:eastAsia="仿宋_GB2312"/>
                <w:sz w:val="24"/>
              </w:rPr>
              <w:t>3.安全文明措施费费率按照《关于发布我省落实建筑工人实名制管理计价依据的通知》陕建发【2019】1246号文调整；</w:t>
            </w:r>
          </w:p>
          <w:p>
            <w:pPr>
              <w:pStyle w:val="null3"/>
              <w:ind w:firstLine="480"/>
              <w:jc w:val="both"/>
            </w:pPr>
            <w:r>
              <w:rPr>
                <w:rFonts w:ascii="仿宋_GB2312" w:hAnsi="仿宋_GB2312" w:cs="仿宋_GB2312" w:eastAsia="仿宋_GB2312"/>
                <w:sz w:val="24"/>
              </w:rPr>
              <w:t>4.陕西省住房和城乡建设厅关于建筑施工安全生产责任保险费用计价的通知陕建发【2020】1097号；</w:t>
            </w:r>
          </w:p>
          <w:p>
            <w:pPr>
              <w:pStyle w:val="null3"/>
              <w:ind w:firstLine="480"/>
              <w:jc w:val="both"/>
            </w:pPr>
            <w:r>
              <w:rPr>
                <w:rFonts w:ascii="仿宋_GB2312" w:hAnsi="仿宋_GB2312" w:cs="仿宋_GB2312" w:eastAsia="仿宋_GB2312"/>
                <w:sz w:val="24"/>
              </w:rPr>
              <w:t>5.陕西省住房和城乡建设厅关于全省统一停止收缴建筑业劳保费用的通知陕建发【2021】1021号；</w:t>
            </w:r>
          </w:p>
          <w:p>
            <w:pPr>
              <w:pStyle w:val="null3"/>
              <w:ind w:firstLine="482"/>
              <w:jc w:val="both"/>
            </w:pP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、工程量清单</w:t>
            </w:r>
          </w:p>
          <w:p>
            <w:pPr>
              <w:pStyle w:val="null3"/>
              <w:ind w:firstLine="480"/>
              <w:jc w:val="both"/>
            </w:pPr>
            <w:r>
              <w:rPr>
                <w:rFonts w:ascii="仿宋_GB2312" w:hAnsi="仿宋_GB2312" w:cs="仿宋_GB2312" w:eastAsia="仿宋_GB2312"/>
                <w:sz w:val="24"/>
                <w:color w:val="000000"/>
              </w:rPr>
              <w:t>详见附件。</w:t>
            </w:r>
          </w:p>
          <w:p>
            <w:pPr>
              <w:pStyle w:val="null3"/>
              <w:ind w:firstLine="482"/>
              <w:jc w:val="both"/>
            </w:pPr>
            <w:r>
              <w:rPr>
                <w:rFonts w:ascii="仿宋_GB2312" w:hAnsi="仿宋_GB2312" w:cs="仿宋_GB2312" w:eastAsia="仿宋_GB2312"/>
                <w:sz w:val="24"/>
                <w:b/>
                <w:color w:val="000000"/>
              </w:rPr>
              <w:t>六</w:t>
            </w:r>
            <w:r>
              <w:rPr>
                <w:rFonts w:ascii="仿宋_GB2312" w:hAnsi="仿宋_GB2312" w:cs="仿宋_GB2312" w:eastAsia="仿宋_GB2312"/>
                <w:sz w:val="24"/>
                <w:b/>
                <w:color w:val="000000"/>
              </w:rPr>
              <w:t>、商务要求</w:t>
            </w:r>
          </w:p>
          <w:p>
            <w:pPr>
              <w:pStyle w:val="null3"/>
              <w:ind w:firstLine="480"/>
              <w:jc w:val="both"/>
            </w:pPr>
            <w:r>
              <w:rPr>
                <w:rFonts w:ascii="仿宋_GB2312" w:hAnsi="仿宋_GB2312" w:cs="仿宋_GB2312" w:eastAsia="仿宋_GB2312"/>
                <w:sz w:val="24"/>
                <w:color w:val="000000"/>
              </w:rPr>
              <w:t>工期：</w:t>
            </w:r>
            <w:r>
              <w:rPr>
                <w:rFonts w:ascii="仿宋_GB2312" w:hAnsi="仿宋_GB2312" w:cs="仿宋_GB2312" w:eastAsia="仿宋_GB2312"/>
                <w:sz w:val="24"/>
                <w:color w:val="000000"/>
              </w:rPr>
              <w:t>90日历天</w:t>
            </w:r>
          </w:p>
          <w:p>
            <w:pPr>
              <w:pStyle w:val="null3"/>
              <w:ind w:firstLine="480"/>
              <w:jc w:val="both"/>
            </w:pPr>
            <w:r>
              <w:rPr>
                <w:rFonts w:ascii="仿宋_GB2312" w:hAnsi="仿宋_GB2312" w:cs="仿宋_GB2312" w:eastAsia="仿宋_GB2312"/>
                <w:sz w:val="24"/>
                <w:color w:val="000000"/>
              </w:rPr>
              <w:t>质保期：</w:t>
            </w:r>
            <w:r>
              <w:rPr>
                <w:rFonts w:ascii="仿宋_GB2312" w:hAnsi="仿宋_GB2312" w:cs="仿宋_GB2312" w:eastAsia="仿宋_GB2312"/>
                <w:sz w:val="24"/>
                <w:color w:val="000000"/>
              </w:rPr>
              <w:t>2年</w:t>
            </w:r>
          </w:p>
          <w:p>
            <w:pPr>
              <w:pStyle w:val="null3"/>
              <w:ind w:firstLine="480"/>
              <w:jc w:val="both"/>
            </w:pPr>
            <w:r>
              <w:rPr>
                <w:rFonts w:ascii="仿宋_GB2312" w:hAnsi="仿宋_GB2312" w:cs="仿宋_GB2312" w:eastAsia="仿宋_GB2312"/>
                <w:sz w:val="24"/>
                <w:color w:val="000000"/>
              </w:rPr>
              <w:t>合同价款支付方式：合同签订后甲方向乙方支付合同金额</w:t>
            </w:r>
            <w:r>
              <w:rPr>
                <w:rFonts w:ascii="仿宋_GB2312" w:hAnsi="仿宋_GB2312" w:cs="仿宋_GB2312" w:eastAsia="仿宋_GB2312"/>
                <w:sz w:val="24"/>
                <w:color w:val="000000"/>
              </w:rPr>
              <w:t>40%的预付款，工程竣工验收合格，结算审计完成后甲方向乙方支付至结算审计金额的100%。付款前，乙方须向甲方开具符合甲方要求的等额发票。</w:t>
            </w:r>
          </w:p>
          <w:p>
            <w:pPr>
              <w:pStyle w:val="null3"/>
              <w:ind w:firstLine="480"/>
              <w:jc w:val="both"/>
            </w:pPr>
            <w:r>
              <w:rPr>
                <w:rFonts w:ascii="仿宋_GB2312" w:hAnsi="仿宋_GB2312" w:cs="仿宋_GB2312" w:eastAsia="仿宋_GB2312"/>
                <w:sz w:val="24"/>
                <w:b/>
                <w:color w:val="000000"/>
              </w:rPr>
              <w:t>七</w:t>
            </w:r>
            <w:r>
              <w:rPr>
                <w:rFonts w:ascii="仿宋_GB2312" w:hAnsi="仿宋_GB2312" w:cs="仿宋_GB2312" w:eastAsia="仿宋_GB2312"/>
                <w:sz w:val="24"/>
                <w:b/>
                <w:color w:val="000000"/>
              </w:rPr>
              <w:t>、技术要求</w:t>
            </w:r>
          </w:p>
          <w:p>
            <w:pPr>
              <w:pStyle w:val="null3"/>
              <w:ind w:firstLine="480"/>
              <w:jc w:val="both"/>
            </w:pPr>
            <w:r>
              <w:rPr>
                <w:rFonts w:ascii="仿宋_GB2312" w:hAnsi="仿宋_GB2312" w:cs="仿宋_GB2312" w:eastAsia="仿宋_GB2312"/>
                <w:sz w:val="24"/>
                <w:color w:val="000000"/>
              </w:rPr>
              <w:t>工程须达到国家及行业现行技术规范标准，符合国家及行业验收合格标准。</w:t>
            </w:r>
          </w:p>
          <w:p>
            <w:pPr>
              <w:pStyle w:val="null3"/>
              <w:ind w:firstLine="480"/>
            </w:pPr>
            <w:r>
              <w:rPr>
                <w:rFonts w:ascii="仿宋_GB2312" w:hAnsi="仿宋_GB2312" w:cs="仿宋_GB2312" w:eastAsia="仿宋_GB2312"/>
                <w:sz w:val="24"/>
                <w:color w:val="000000"/>
              </w:rPr>
              <w:t>质量：符合国家工程质量验收合格标准。</w:t>
            </w:r>
          </w:p>
          <w:p>
            <w:pPr>
              <w:pStyle w:val="null3"/>
              <w:ind w:firstLine="482"/>
            </w:pPr>
            <w:r>
              <w:rPr>
                <w:rFonts w:ascii="仿宋_GB2312" w:hAnsi="仿宋_GB2312" w:cs="仿宋_GB2312" w:eastAsia="仿宋_GB2312"/>
                <w:sz w:val="24"/>
                <w:b/>
                <w:color w:val="000000"/>
              </w:rPr>
              <w:t>八、其他说明事项</w:t>
            </w:r>
          </w:p>
          <w:p>
            <w:pPr>
              <w:pStyle w:val="null3"/>
              <w:ind w:firstLine="480"/>
            </w:pPr>
            <w:r>
              <w:rPr>
                <w:rFonts w:ascii="仿宋_GB2312" w:hAnsi="仿宋_GB2312" w:cs="仿宋_GB2312" w:eastAsia="仿宋_GB2312"/>
                <w:sz w:val="24"/>
                <w:color w:val="000000"/>
              </w:rPr>
              <w:t>1.主要材料价格按照2023年第2期《陕西省建设工程材料信息价》。</w:t>
            </w:r>
          </w:p>
          <w:p>
            <w:pPr>
              <w:pStyle w:val="null3"/>
              <w:jc w:val="both"/>
            </w:pPr>
            <w:r>
              <w:rPr>
                <w:rFonts w:ascii="仿宋_GB2312" w:hAnsi="仿宋_GB2312" w:cs="仿宋_GB2312" w:eastAsia="仿宋_GB2312"/>
                <w:sz w:val="24"/>
                <w:color w:val="000000"/>
              </w:rPr>
              <w:t>2.工程设计费、供电手续费请自行考虑，包含在报价中。</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建设行政主管部门颁发的电力工程施工总承包三级及以上资质或输变电工程专业承包三级及以上资质，同时具备国家电力监管部门颁发的承装（修、试）电力设施许可证五级及以上资质，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项目经理（项目负责人）</w:t>
            </w:r>
          </w:p>
        </w:tc>
        <w:tc>
          <w:tcPr>
            <w:tcW w:type="dxa" w:w="3322"/>
          </w:tcPr>
          <w:p>
            <w:pPr>
              <w:pStyle w:val="null3"/>
            </w:pPr>
            <w:r>
              <w:rPr>
                <w:rFonts w:ascii="仿宋_GB2312" w:hAnsi="仿宋_GB2312" w:cs="仿宋_GB2312" w:eastAsia="仿宋_GB2312"/>
              </w:rPr>
              <w:t>具备机电工程二级及以上(含二级)注册建造师证书和建安B证，须在本单位注册，无不良信用记录，无在建工程（提供无在建工程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项目管理机构组成表 资格证明文件.docx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参加政府采购活动前3年内在经营活动中没有重大违法记录；供应商需在项目电子化交易系统中按要求填写《响应函》完成承诺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未被列入“信用中国”网站（www.creditchina.gov.cn）“失信被执行人”“重大税收违法案件当事人名单”“政府采购严重违法失信行为记录名单”；未被列入“中国政府采购网”(www.ccgp.gov.cn)政府采购严重违法失信行为记录名单(附网站截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会计事务所或审计机构出具完整的财务审计报告（至少包括资产负债表和利润表，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6个月内已缴纳的至少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本项目不接受联合体响应，不允许分包。</w:t>
            </w:r>
          </w:p>
        </w:tc>
        <w:tc>
          <w:tcPr>
            <w:tcW w:type="dxa" w:w="3322"/>
          </w:tcPr>
          <w:p>
            <w:pPr>
              <w:pStyle w:val="null3"/>
            </w:pPr>
            <w:r>
              <w:rPr>
                <w:rFonts w:ascii="仿宋_GB2312" w:hAnsi="仿宋_GB2312" w:cs="仿宋_GB2312" w:eastAsia="仿宋_GB2312"/>
              </w:rPr>
              <w:t>供应商提供《非联合体、不分包投标声明》，供应商应提交的相关资格证明材料视为独立响应，不分包；供应商需在项目电子化交易系统中按要求上传相应证明文件并进行电子签章。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首次磋商报价表.docx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供应商认为应该提交的其他资料.docx 中小企业声明函 合同条款响应表.docx 首次磋商报价表.docx 商务要求响应表.docx 资格证明文件.docx 响应文件封面 项目管理机构组成表 报价函 供应商拒绝政府采购领域商业贿赂承诺书.docx 标的清单 供应商类似项目业绩一览表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只能有一个有效报价，不得提交选择性报价，按要求提交最后报价，且不超过上一次报价或磋商小组认为低于成本价的报价。</w:t>
            </w:r>
          </w:p>
        </w:tc>
        <w:tc>
          <w:tcPr>
            <w:tcW w:type="dxa" w:w="1661"/>
          </w:tcPr>
          <w:p>
            <w:pPr>
              <w:pStyle w:val="null3"/>
            </w:pPr>
            <w:r>
              <w:rPr>
                <w:rFonts w:ascii="仿宋_GB2312" w:hAnsi="仿宋_GB2312" w:cs="仿宋_GB2312" w:eastAsia="仿宋_GB2312"/>
              </w:rPr>
              <w:t>报价函 首次磋商报价表.docx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与营业执照、资质证书或其他组织一致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报价函 首次磋商报价表.docx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提供详细、可行、专业的总体实施方案，包括但不限于工程概况、管理机构、施工组织、施工计划、施工工艺、建议及施工措施等内容。 方案可靠性、专业性强，可行性高，内容详尽的得(6-9]分； 方案可靠性、专业性、可行性一般，内容较详尽的得(3-6]分； 方案专业性、可行性较差，内容不全的得[0-3]分。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安全施工保障措施</w:t>
            </w:r>
          </w:p>
        </w:tc>
        <w:tc>
          <w:tcPr>
            <w:tcW w:type="dxa" w:w="2492"/>
          </w:tcPr>
          <w:p>
            <w:pPr>
              <w:pStyle w:val="null3"/>
            </w:pPr>
            <w:r>
              <w:rPr>
                <w:rFonts w:ascii="仿宋_GB2312" w:hAnsi="仿宋_GB2312" w:cs="仿宋_GB2312" w:eastAsia="仿宋_GB2312"/>
              </w:rPr>
              <w:t>提供科学合理，切实可行的安全施工保障措施，包括但不限于安全目标、安全保障体系、安全管理制度、安全生产方案、安全隐患的排除及处理、安全教育和培训等内容。措施及体系完善、科学合理、切实可行的得(4-8]分。 措施及体系基本完善、基本合理，可行性一般的得[0-4]分。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劳动力安排及机械设备配备</w:t>
            </w:r>
          </w:p>
        </w:tc>
        <w:tc>
          <w:tcPr>
            <w:tcW w:type="dxa" w:w="2492"/>
          </w:tcPr>
          <w:p>
            <w:pPr>
              <w:pStyle w:val="null3"/>
            </w:pPr>
            <w:r>
              <w:rPr>
                <w:rFonts w:ascii="仿宋_GB2312" w:hAnsi="仿宋_GB2312" w:cs="仿宋_GB2312" w:eastAsia="仿宋_GB2312"/>
              </w:rPr>
              <w:t>拟投入劳动力安排合理、机械设备配备完善，能有效保证工期，计0-4分。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2022年1月1日起至今，供应商承担的类似项目业绩（以中标通知书或合同复印件为准，时间以中标通知书发出时间或合同签订日期为准），每提供1份有效业绩得2.5分，最多得5分。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本项目质保期为 2 年，每延长半年加1分，最多得2分。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首次磋商报价表.docx</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提供科学合理，切实可行的质量保障措施，包括但不限于质量目标、质量保障体系、质量控制流程、质量控制要点、质量预防及控制措施等内容。 措施及体系完善、科学合理、切实可行的得(4-8]分。 措施及体系基本完善、基本合理，可行性一般的得[0-4]分。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工期保障措施</w:t>
            </w:r>
          </w:p>
        </w:tc>
        <w:tc>
          <w:tcPr>
            <w:tcW w:type="dxa" w:w="2492"/>
          </w:tcPr>
          <w:p>
            <w:pPr>
              <w:pStyle w:val="null3"/>
            </w:pPr>
            <w:r>
              <w:rPr>
                <w:rFonts w:ascii="仿宋_GB2312" w:hAnsi="仿宋_GB2312" w:cs="仿宋_GB2312" w:eastAsia="仿宋_GB2312"/>
              </w:rPr>
              <w:t>提供科学合理，切实可行的工期保障措施，包括但不限于工期目标、工期保障体系、进度计划、进度管理、进度控制方法、进度控制要点、误期的补救措施等内容。 措施及体系完善、科学合理、切实可行的得(4-8]分。 措施及体系基本完善、基本合理，可行性一般的得[0-4]分。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文明施工保障措施</w:t>
            </w:r>
          </w:p>
        </w:tc>
        <w:tc>
          <w:tcPr>
            <w:tcW w:type="dxa" w:w="2492"/>
          </w:tcPr>
          <w:p>
            <w:pPr>
              <w:pStyle w:val="null3"/>
            </w:pPr>
            <w:r>
              <w:rPr>
                <w:rFonts w:ascii="仿宋_GB2312" w:hAnsi="仿宋_GB2312" w:cs="仿宋_GB2312" w:eastAsia="仿宋_GB2312"/>
              </w:rPr>
              <w:t>提供科学合理，切实可行的文明施工保障措施，包括但不限于文明施工目标、文明施工保障体系、管理制度、设备及材料的堆放、施工现场的整洁保障等内容。 措施及体系完善、科学合理、切实可行的得(4-8]分。 措施及体系基本完善、基本合理，可行性一般的得[0-4]分。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配备健全的项目管理机构，拟派人员包含项目经理、资料员、质量员、施工员、专职安全员、材料员等，提供身份证/岗位证等相关资料。 机构设置合理，人员配备齐全，技术经验丰富的得(3-5]分； 机构设置及人员配备一般的得[0-3]分。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材料投入计划</w:t>
            </w:r>
          </w:p>
        </w:tc>
        <w:tc>
          <w:tcPr>
            <w:tcW w:type="dxa" w:w="2492"/>
          </w:tcPr>
          <w:p>
            <w:pPr>
              <w:pStyle w:val="null3"/>
            </w:pPr>
            <w:r>
              <w:rPr>
                <w:rFonts w:ascii="仿宋_GB2312" w:hAnsi="仿宋_GB2312" w:cs="仿宋_GB2312" w:eastAsia="仿宋_GB2312"/>
              </w:rPr>
              <w:t>拟投入材料质量有保障，材料投入计划合理，能有效保证工程质量、工期，计0-4分。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成品保护措施</w:t>
            </w:r>
          </w:p>
        </w:tc>
        <w:tc>
          <w:tcPr>
            <w:tcW w:type="dxa" w:w="2492"/>
          </w:tcPr>
          <w:p>
            <w:pPr>
              <w:pStyle w:val="null3"/>
            </w:pPr>
            <w:r>
              <w:rPr>
                <w:rFonts w:ascii="仿宋_GB2312" w:hAnsi="仿宋_GB2312" w:cs="仿宋_GB2312" w:eastAsia="仿宋_GB2312"/>
              </w:rPr>
              <w:t>提供详细可行的成品保护措施，包括但不限于保护内容、原材料的保护、施工过程中的保护、发生损坏的补救措施等内容。 措施完善、合理、可行的得(3-5]分； 措施基本合理，基本可行的得[0-3]分。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风险防范及应急预案</w:t>
            </w:r>
          </w:p>
        </w:tc>
        <w:tc>
          <w:tcPr>
            <w:tcW w:type="dxa" w:w="2492"/>
          </w:tcPr>
          <w:p>
            <w:pPr>
              <w:pStyle w:val="null3"/>
            </w:pPr>
            <w:r>
              <w:rPr>
                <w:rFonts w:ascii="仿宋_GB2312" w:hAnsi="仿宋_GB2312" w:cs="仿宋_GB2312" w:eastAsia="仿宋_GB2312"/>
              </w:rPr>
              <w:t>项目风险预测，提出风险防范措施；预测可能发生的事故并制定有效的应急预案。 应急预案考虑全面，切实可行，操作性强的得(2-4]分； 应急预案考虑不全，操作性不强的得(0-2]分。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1、最终磋商评审报价最低的为评审基准价，得30分。 2、按（评审基准价/最终磋商评审报价×30）的公式计算其得分。 注：本项目专门面向中小企业采购，供应商报价不再享受政策优惠。</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首次磋商报价表.docx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详见附件：首次磋商报价表.docx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详见附件：合同条款响应表.docx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详见附件：供应商认为应该提交的其他资料.docx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