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版本号：HCKPZY-ZB-202503120250612001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医院污水处理运维服务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HCKPZY-ZB-2025031</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医院污水处理运维服务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医院污水处理运维服务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陕西省交通医院污水处理运维服务，实现污水处理站废水的正常稳定处理，达标排放。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采购包1（医院污水处理运维服务）：属于专门面向小微企业采购。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029-88483070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陕西省西安市南二环西段58号成长大厦1622室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银行账号：30208471002359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地址：陕西省西安市南二环西段58号成长大厦1622室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陕西省交通医院污水处理运维服务，实现污水处理站废水的正常稳定处理，达标排放。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医院污水处理运维服务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标的名称：医院污水处理运维服务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一、服务内容：</w:t>
            </w:r>
          </w:p>
          <w:p>
            <w:pPr>
              <w:pStyle w:val="null3"/>
            </w:pPr>
            <w:r>
              <w:rPr>
                <w:rFonts w:ascii="仿宋_GB2312" w:hAnsi="仿宋_GB2312" w:cs="仿宋_GB2312" w:eastAsia="仿宋_GB2312"/>
              </w:rPr>
              <w:t>污水处理站废水的正常稳定处理，达标排放。</w:t>
            </w:r>
          </w:p>
          <w:p>
            <w:pPr>
              <w:pStyle w:val="null3"/>
            </w:pPr>
            <w:r>
              <w:rPr>
                <w:rFonts w:ascii="仿宋_GB2312" w:hAnsi="仿宋_GB2312" w:cs="仿宋_GB2312" w:eastAsia="仿宋_GB2312"/>
              </w:rPr>
              <w:t>1.包括污水站范围内的设施设备、辅助设备及功能性污水处理装置的维护保养；</w:t>
            </w:r>
          </w:p>
          <w:p>
            <w:pPr>
              <w:pStyle w:val="null3"/>
            </w:pPr>
            <w:r>
              <w:rPr>
                <w:rFonts w:ascii="仿宋_GB2312" w:hAnsi="仿宋_GB2312" w:cs="仿宋_GB2312" w:eastAsia="仿宋_GB2312"/>
              </w:rPr>
              <w:t>2.电气自控、仪器仪表的维护保养；</w:t>
            </w:r>
          </w:p>
          <w:p>
            <w:pPr>
              <w:pStyle w:val="null3"/>
            </w:pPr>
            <w:r>
              <w:rPr>
                <w:rFonts w:ascii="仿宋_GB2312" w:hAnsi="仿宋_GB2312" w:cs="仿宋_GB2312" w:eastAsia="仿宋_GB2312"/>
              </w:rPr>
              <w:t>3.水质化验（有相关检测资质的第三方检测公司对水质周、月、季度的检测）；</w:t>
            </w:r>
          </w:p>
          <w:p>
            <w:pPr>
              <w:pStyle w:val="null3"/>
            </w:pPr>
            <w:r>
              <w:rPr>
                <w:rFonts w:ascii="仿宋_GB2312" w:hAnsi="仿宋_GB2312" w:cs="仿宋_GB2312" w:eastAsia="仿宋_GB2312"/>
              </w:rPr>
              <w:t>4.药剂（每日水处理药剂、PH 值每日化验药剂及每周在线药洗MBR膜药剂、离线药洗MBR膜药剂、PCR实验室水处理药剂、感染性疾病门诊水处理药剂）的购置、保管看护和运输；</w:t>
            </w:r>
          </w:p>
          <w:p>
            <w:pPr>
              <w:pStyle w:val="null3"/>
            </w:pPr>
            <w:r>
              <w:rPr>
                <w:rFonts w:ascii="仿宋_GB2312" w:hAnsi="仿宋_GB2312" w:cs="仿宋_GB2312" w:eastAsia="仿宋_GB2312"/>
              </w:rPr>
              <w:t>5.化粪池清掏；</w:t>
            </w:r>
          </w:p>
          <w:p>
            <w:pPr>
              <w:pStyle w:val="null3"/>
            </w:pPr>
            <w:r>
              <w:rPr>
                <w:rFonts w:ascii="仿宋_GB2312" w:hAnsi="仿宋_GB2312" w:cs="仿宋_GB2312" w:eastAsia="仿宋_GB2312"/>
              </w:rPr>
              <w:t>6.污泥清理；</w:t>
            </w:r>
          </w:p>
          <w:p>
            <w:pPr>
              <w:pStyle w:val="null3"/>
            </w:pPr>
            <w:r>
              <w:rPr>
                <w:rFonts w:ascii="仿宋_GB2312" w:hAnsi="仿宋_GB2312" w:cs="仿宋_GB2312" w:eastAsia="仿宋_GB2312"/>
              </w:rPr>
              <w:t>7.污水管道及单向阀清洗；</w:t>
            </w:r>
          </w:p>
          <w:p>
            <w:pPr>
              <w:pStyle w:val="null3"/>
            </w:pPr>
            <w:r>
              <w:rPr>
                <w:rFonts w:ascii="仿宋_GB2312" w:hAnsi="仿宋_GB2312" w:cs="仿宋_GB2312" w:eastAsia="仿宋_GB2312"/>
              </w:rPr>
              <w:t>8.菌种的培养；</w:t>
            </w:r>
          </w:p>
          <w:p>
            <w:pPr>
              <w:pStyle w:val="null3"/>
            </w:pPr>
            <w:r>
              <w:rPr>
                <w:rFonts w:ascii="仿宋_GB2312" w:hAnsi="仿宋_GB2312" w:cs="仿宋_GB2312" w:eastAsia="仿宋_GB2312"/>
              </w:rPr>
              <w:t>9.MBR膜的维护及清理；</w:t>
            </w:r>
          </w:p>
          <w:p>
            <w:pPr>
              <w:pStyle w:val="null3"/>
            </w:pPr>
            <w:r>
              <w:rPr>
                <w:rFonts w:ascii="仿宋_GB2312" w:hAnsi="仿宋_GB2312" w:cs="仿宋_GB2312" w:eastAsia="仿宋_GB2312"/>
              </w:rPr>
              <w:t>10.监测平台填报监测、检测数据；</w:t>
            </w:r>
          </w:p>
          <w:p>
            <w:pPr>
              <w:pStyle w:val="null3"/>
            </w:pPr>
            <w:r>
              <w:rPr>
                <w:rFonts w:ascii="仿宋_GB2312" w:hAnsi="仿宋_GB2312" w:cs="仿宋_GB2312" w:eastAsia="仿宋_GB2312"/>
              </w:rPr>
              <w:t>11.活性泥的购买；</w:t>
            </w:r>
          </w:p>
          <w:p>
            <w:pPr>
              <w:pStyle w:val="null3"/>
            </w:pPr>
            <w:r>
              <w:rPr>
                <w:rFonts w:ascii="仿宋_GB2312" w:hAnsi="仿宋_GB2312" w:cs="仿宋_GB2312" w:eastAsia="仿宋_GB2312"/>
              </w:rPr>
              <w:t>12.管道、污水井、调节池、化粪池、生化池等清掏；</w:t>
            </w:r>
          </w:p>
          <w:p>
            <w:pPr>
              <w:pStyle w:val="null3"/>
            </w:pPr>
            <w:r>
              <w:rPr>
                <w:rFonts w:ascii="仿宋_GB2312" w:hAnsi="仿宋_GB2312" w:cs="仿宋_GB2312" w:eastAsia="仿宋_GB2312"/>
              </w:rPr>
              <w:t>13.365天每天24小时在岗，每日3班，每班至少2人，共6人。</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1.污水处理站设计处理规模为100吨/日，目前实际运行量为60吨/日。</w:t>
            </w:r>
          </w:p>
          <w:p>
            <w:pPr>
              <w:pStyle w:val="null3"/>
            </w:pPr>
            <w:r>
              <w:rPr>
                <w:rFonts w:ascii="仿宋_GB2312" w:hAnsi="仿宋_GB2312" w:cs="仿宋_GB2312" w:eastAsia="仿宋_GB2312"/>
              </w:rPr>
              <w:t>2.服务目标：处理后出水达到国家相关要求及《医疗机构水污染排放标准》（GB18466-2005）预处理标准、氨氮满足《污水排入城镇下水道水质标准》（GB/T31962-2015）B级标准，同时符合渭河水系（陕西段）污水综合排放标准及本院环评排放标准的相关要求，必须满足在线监测要求。</w:t>
            </w:r>
          </w:p>
          <w:p>
            <w:pPr>
              <w:pStyle w:val="null3"/>
            </w:pPr>
            <w:r>
              <w:rPr>
                <w:rFonts w:ascii="仿宋_GB2312" w:hAnsi="仿宋_GB2312" w:cs="仿宋_GB2312" w:eastAsia="仿宋_GB2312"/>
              </w:rPr>
              <w:t>3.污水处理站运营主要设备：以现场实际踏勘为准。</w:t>
            </w:r>
          </w:p>
          <w:p>
            <w:pPr>
              <w:pStyle w:val="null3"/>
            </w:pPr>
            <w:r>
              <w:rPr>
                <w:rFonts w:ascii="仿宋_GB2312" w:hAnsi="仿宋_GB2312" w:cs="仿宋_GB2312" w:eastAsia="仿宋_GB2312"/>
              </w:rPr>
              <w:t>4.污水处理站要求365天×24小时（全年无休息日）值守，运行期间保证每日3班，每班至少2人，电话24小时畅通。</w:t>
            </w:r>
          </w:p>
          <w:p>
            <w:pPr>
              <w:pStyle w:val="null3"/>
            </w:pPr>
            <w:r>
              <w:rPr>
                <w:rFonts w:ascii="仿宋_GB2312" w:hAnsi="仿宋_GB2312" w:cs="仿宋_GB2312" w:eastAsia="仿宋_GB2312"/>
              </w:rPr>
              <w:t>5.根据医院污水处理站管理运行要求，合理编制污水处理站运行手册，具体内容包含污水处理站运营管理规章制度、人员岗位职责、设备操作维护规程、污水处理工艺说明及污水处理站突发环境事件应急预案等服务体系。</w:t>
            </w:r>
          </w:p>
          <w:p>
            <w:pPr>
              <w:pStyle w:val="null3"/>
            </w:pPr>
            <w:r>
              <w:rPr>
                <w:rFonts w:ascii="仿宋_GB2312" w:hAnsi="仿宋_GB2312" w:cs="仿宋_GB2312" w:eastAsia="仿宋_GB2312"/>
              </w:rPr>
              <w:t>6.建立完善包括管理制度、交接班制度、操作手册、污水流程图、药剂使用记录、检测记录表、日常运行记录、设备设施维护保养记录。</w:t>
            </w:r>
          </w:p>
          <w:p>
            <w:pPr>
              <w:pStyle w:val="null3"/>
            </w:pPr>
            <w:r>
              <w:rPr>
                <w:rFonts w:ascii="仿宋_GB2312" w:hAnsi="仿宋_GB2312" w:cs="仿宋_GB2312" w:eastAsia="仿宋_GB2312"/>
              </w:rPr>
              <w:t>7.负责污水站运营服务工作所需要的人员工资费用、设施设备维护保养费，人工费、环保检测费用、药剂费用、生物菌种费用等；污水处理站日常水电费及办公场地由院方提供。</w:t>
            </w:r>
          </w:p>
          <w:p>
            <w:pPr>
              <w:pStyle w:val="null3"/>
            </w:pPr>
            <w:r>
              <w:rPr>
                <w:rFonts w:ascii="仿宋_GB2312" w:hAnsi="仿宋_GB2312" w:cs="仿宋_GB2312" w:eastAsia="仿宋_GB2312"/>
              </w:rPr>
              <w:t>8.污水处理站废水、废渣、垃圾规范化处理、污水站设施设备的维护保养、污水处理站化学药剂采购、存放及安全管理；污水站操作人员的培训和管理。</w:t>
            </w:r>
          </w:p>
          <w:p>
            <w:pPr>
              <w:pStyle w:val="null3"/>
            </w:pPr>
            <w:r>
              <w:rPr>
                <w:rFonts w:ascii="仿宋_GB2312" w:hAnsi="仿宋_GB2312" w:cs="仿宋_GB2312" w:eastAsia="仿宋_GB2312"/>
              </w:rPr>
              <w:t>9.污水处理站日常运行管理，设备设施的日常维护保养，（月度期、季度期、半年期）并有记录，如设备需要维修更换，及时书面通知采购人,保障全年设备完好。</w:t>
            </w:r>
          </w:p>
          <w:p>
            <w:pPr>
              <w:pStyle w:val="null3"/>
            </w:pPr>
            <w:r>
              <w:rPr>
                <w:rFonts w:ascii="仿宋_GB2312" w:hAnsi="仿宋_GB2312" w:cs="仿宋_GB2312" w:eastAsia="仿宋_GB2312"/>
              </w:rPr>
              <w:t>10.定期对污水处理池及配套设施进行清通清洗，保证排水系统通畅。</w:t>
            </w:r>
          </w:p>
          <w:p>
            <w:pPr>
              <w:pStyle w:val="null3"/>
            </w:pPr>
            <w:r>
              <w:rPr>
                <w:rFonts w:ascii="仿宋_GB2312" w:hAnsi="仿宋_GB2312" w:cs="仿宋_GB2312" w:eastAsia="仿宋_GB2312"/>
              </w:rPr>
              <w:t>11.负责甲方主管部门、医院相关部门及环保监管部门的检查。</w:t>
            </w:r>
          </w:p>
          <w:p>
            <w:pPr>
              <w:pStyle w:val="null3"/>
            </w:pPr>
            <w:r>
              <w:rPr>
                <w:rFonts w:ascii="仿宋_GB2312" w:hAnsi="仿宋_GB2312" w:cs="仿宋_GB2312" w:eastAsia="仿宋_GB2312"/>
              </w:rPr>
              <w:t>12.请第三方按陕西省污染源环境监测信息管理平台要求进行检测并提供合格的检测报告。如在日常监测中发现有不达标排放的行为，供应商承担由此而造成的一切经济损失及法律责任。</w:t>
            </w:r>
          </w:p>
          <w:p>
            <w:pPr>
              <w:pStyle w:val="null3"/>
            </w:pPr>
            <w:r>
              <w:rPr>
                <w:rFonts w:ascii="仿宋_GB2312" w:hAnsi="仿宋_GB2312" w:cs="仿宋_GB2312" w:eastAsia="仿宋_GB2312"/>
              </w:rPr>
              <w:t>13.供应商在运维期内按甲方要求对工作区污水管道、井及化粪池、格栅池等的清掏冲洗不少于1次，并按照规范委托专业机构负责污泥处置。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三、其他要求</w:t>
            </w:r>
          </w:p>
          <w:p>
            <w:pPr>
              <w:pStyle w:val="null3"/>
            </w:pPr>
            <w:r>
              <w:rPr>
                <w:rFonts w:ascii="仿宋_GB2312" w:hAnsi="仿宋_GB2312" w:cs="仿宋_GB2312" w:eastAsia="仿宋_GB2312"/>
              </w:rPr>
              <w:t>1.</w:t>
            </w:r>
            <w:r>
              <w:rPr>
                <w:rFonts w:ascii="仿宋_GB2312" w:hAnsi="仿宋_GB2312" w:cs="仿宋_GB2312" w:eastAsia="仿宋_GB2312"/>
              </w:rPr>
              <w:t>供应商应考虑在项目实施过程中所存在或潜在的一切风险。设备操作和维护工作要及时有效，并做好安全预防工作，防止安全事故发生，对不按照安全生产</w:t>
            </w:r>
            <w:r>
              <w:rPr>
                <w:rFonts w:ascii="仿宋_GB2312" w:hAnsi="仿宋_GB2312" w:cs="仿宋_GB2312" w:eastAsia="仿宋_GB2312"/>
              </w:rPr>
              <w:t>规程所造成的事故承担全部责任。</w:t>
            </w:r>
          </w:p>
          <w:p>
            <w:pPr>
              <w:pStyle w:val="null3"/>
            </w:pPr>
            <w:r>
              <w:rPr>
                <w:rFonts w:ascii="仿宋_GB2312" w:hAnsi="仿宋_GB2312" w:cs="仿宋_GB2312" w:eastAsia="仿宋_GB2312"/>
              </w:rPr>
              <w:t>2.服从国家、陕西省、西安市各级环保部门及医院的监督管理，每周、月、季度请第三方对标准内指标进行检测，并将合格的检测报告提交给采购人；如在监测中发现有不达标排放的行为，供应商承担由此而造成的一切经济损失及法律责任。</w:t>
            </w:r>
          </w:p>
          <w:p>
            <w:pPr>
              <w:pStyle w:val="null3"/>
            </w:pPr>
            <w:r>
              <w:rPr>
                <w:rFonts w:ascii="仿宋_GB2312" w:hAnsi="仿宋_GB2312" w:cs="仿宋_GB2312" w:eastAsia="仿宋_GB2312"/>
              </w:rPr>
              <w:t>3.供应商应当负责本招标项目中涉及的全部技术服务工作。</w:t>
            </w:r>
          </w:p>
          <w:p>
            <w:pPr>
              <w:pStyle w:val="null3"/>
            </w:pPr>
            <w:r>
              <w:rPr>
                <w:rFonts w:ascii="仿宋_GB2312" w:hAnsi="仿宋_GB2312" w:cs="仿宋_GB2312" w:eastAsia="仿宋_GB2312"/>
              </w:rPr>
              <w:t>4.供应商在污水处理过程中使用相关药剂的采购必须合规合法。购买的药剂必须保质保量。如有使用前必须将销售方的经营资质、采购合同、使用数量等相关信息需报采购人备案，否则将不予使用，由此给采购人带来的任何责任和损失均由供应商承担。</w:t>
            </w:r>
          </w:p>
          <w:p>
            <w:pPr>
              <w:pStyle w:val="null3"/>
            </w:pPr>
            <w:r>
              <w:rPr>
                <w:rFonts w:ascii="仿宋_GB2312" w:hAnsi="仿宋_GB2312" w:cs="仿宋_GB2312" w:eastAsia="仿宋_GB2312"/>
              </w:rPr>
              <w:t>5.供应商必须提供驻场服务人员的考核考勤制度。</w:t>
            </w:r>
          </w:p>
          <w:p>
            <w:pPr>
              <w:pStyle w:val="null3"/>
            </w:pPr>
            <w:r>
              <w:rPr>
                <w:rFonts w:ascii="仿宋_GB2312" w:hAnsi="仿宋_GB2312" w:cs="仿宋_GB2312" w:eastAsia="仿宋_GB2312"/>
              </w:rPr>
              <w:t>6.供应商出水未达到标准要求，或供应商现场工作人员运行，维护保养，操作不当，导致造成的污水处理不达标或重大污染事故，引起相关部门的罚款或对第三方造成的损失，供应商负责承担全部责任并承担相关的排污费及相关罚款。</w:t>
            </w:r>
          </w:p>
          <w:p>
            <w:pPr>
              <w:pStyle w:val="null3"/>
            </w:pPr>
            <w:r>
              <w:rPr>
                <w:rFonts w:ascii="仿宋_GB2312" w:hAnsi="仿宋_GB2312" w:cs="仿宋_GB2312" w:eastAsia="仿宋_GB2312"/>
              </w:rPr>
              <w:t>7.供应商现场污水处理工作人员须具备专业的理论知识与操作技能基础。严格遵循甲方制定的医院污水处理站管理规章制度、操作规范及质量考核标准。甲方有权对供应商现场工作人员的工作进行监督检查与绩效考核，工作人员应积极配合检查工作，对甲方提出的整改意见，须在规定期限内完成整改，并提交整改报告。若因违反甲方相关规定导致不良后果，除承担乙方内部责任外，由此给采购人带来的任何责任和损失均由供应商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陕西省交通医院污水处理站运维服务费用组成明细</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931"/>
              <w:gridCol w:w="631"/>
              <w:gridCol w:w="631"/>
            </w:tblGrid>
            <w:tr>
              <w:tc>
                <w:tcPr>
                  <w:tcW w:type="dxa" w:w="3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9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w:t>
                  </w:r>
                </w:p>
              </w:tc>
              <w:tc>
                <w:tcPr>
                  <w:tcW w:type="dxa" w:w="6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6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359"/>
                  <w:vMerge/>
                  <w:tcBorders>
                    <w:top w:val="single" w:color="000000" w:sz="4"/>
                    <w:left w:val="single" w:color="000000" w:sz="4"/>
                    <w:bottom w:val="single" w:color="000000" w:sz="4"/>
                    <w:right w:val="single" w:color="000000" w:sz="4"/>
                  </w:tcBorders>
                </w:tcPr>
                <w:p/>
              </w:tc>
              <w:tc>
                <w:tcPr>
                  <w:tcW w:type="dxa" w:w="931"/>
                  <w:vMerge/>
                  <w:tcBorders>
                    <w:top w:val="single" w:color="000000" w:sz="4"/>
                    <w:left w:val="none" w:color="000000" w:sz="4"/>
                    <w:bottom w:val="single" w:color="000000" w:sz="4"/>
                    <w:right w:val="single" w:color="000000" w:sz="4"/>
                  </w:tcBorders>
                </w:tcPr>
                <w:p/>
              </w:tc>
              <w:tc>
                <w:tcPr>
                  <w:tcW w:type="dxa" w:w="631"/>
                  <w:vMerge/>
                  <w:tcBorders>
                    <w:top w:val="single" w:color="000000" w:sz="4"/>
                    <w:left w:val="none" w:color="000000" w:sz="4"/>
                    <w:bottom w:val="single" w:color="000000" w:sz="4"/>
                    <w:right w:val="single" w:color="000000" w:sz="4"/>
                  </w:tcBorders>
                </w:tcPr>
                <w:p/>
              </w:tc>
              <w:tc>
                <w:tcPr>
                  <w:tcW w:type="dxa" w:w="631"/>
                  <w:vMerge/>
                  <w:tcBorders>
                    <w:top w:val="single" w:color="000000" w:sz="4"/>
                    <w:left w:val="none" w:color="000000" w:sz="4"/>
                    <w:bottom w:val="single" w:color="000000" w:sz="4"/>
                    <w:right w:val="single" w:color="000000" w:sz="4"/>
                  </w:tcBorders>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每日检测费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第三方检测费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设备小型维修费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月</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设备维护费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月</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药剂费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瓶</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PCR</w:t>
                  </w:r>
                  <w:r>
                    <w:rPr>
                      <w:rFonts w:ascii="仿宋_GB2312" w:hAnsi="仿宋_GB2312" w:cs="仿宋_GB2312" w:eastAsia="仿宋_GB2312"/>
                      <w:sz w:val="19"/>
                    </w:rPr>
                    <w:t>实验室消毒药剂费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100g</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发热门诊消毒药剂</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营养剂添加费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生物菌种培养费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RBM</w:t>
                  </w:r>
                  <w:r>
                    <w:rPr>
                      <w:rFonts w:ascii="仿宋_GB2312" w:hAnsi="仿宋_GB2312" w:cs="仿宋_GB2312" w:eastAsia="仿宋_GB2312"/>
                      <w:sz w:val="19"/>
                    </w:rPr>
                    <w:t>膜在线药洗费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RBM</w:t>
                  </w:r>
                  <w:r>
                    <w:rPr>
                      <w:rFonts w:ascii="仿宋_GB2312" w:hAnsi="仿宋_GB2312" w:cs="仿宋_GB2312" w:eastAsia="仿宋_GB2312"/>
                      <w:sz w:val="19"/>
                    </w:rPr>
                    <w:t>膜离线药洗费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污泥购置费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管道、污水井、调节池、化粪池等清掏费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生化池清洗费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污泥处置费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人员工资</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劳保费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季度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详见服务内容和技术要求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详见服务内容和技术要求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详见服务内容和技术要求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签订合同后5日内，乙方需向甲方缴纳成交金额的 5%作为履约保证金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2-1、如乙方事先未征得甲方同意并得到甲方的谅解而单方面延迟交货，将按违约终止合同。乙方未征得甲方同意和谅解而单方面延误服务期，将按违约终止合同。 2-2 若乙方遇到可能妨碍按时提供服务的情况，应当及时以书面形式通 知甲方，说明原由、拖延的期限等； 甲方在收到通知后，尽快进行情况评 估并确定是否通过修改合同，酌情延长服务时间或者通过协商加收误期赔偿金。 3、乙方未按合同要求提供服务或服务质量不能满足合同要求，甲方有权依据《中华人民共和国民法典》有关条款及合同约定解除合同，解除合同书面通知书到达成交供应商之日视为合同已解除，并按以下两种方式追究成交乙方的违约责任： 3.1乙方赔偿甲方解除合同的全部损失（包括但不限于重新采购产生的费用、合同未履行导致运维服务不能按规划交付可能产生的其他费用及其他由此造成的甲方对第三方的违约损失）； 3.2乙方支付甲方违约金，违约金计算方法：以合同总价为基数，支付甲方合同总价的【 】%为违约金，违约金不足以赔偿甲方损失的，由乙方另行承担。 同时，对乙方的违约行为报监管机构进行相应的处罚。 4、乙方工作人员在工作中因故意或疏忽而出现的责任事故，因乙方原因造成他人人身伤害、财产损失及严重损害甲方声誉的，由乙方承担所有赔偿责任且甲方有权单方面解除本合同。 5、乙方或乙方工作人员违反合同所约定之义务，污水处理站废水的不能正常稳定处理，达标排放等可能造成合同约定区域的环境污染、安全隐患、妨碍诊疗秩序或导致甲方其他方面损害，甲方有权单方面终止合同，而无须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并提供以下资格证明文件：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1.总体思路清晰，有条理性，实施方案内容详细，针对性强，合理可行，完全满足磋商文件运维服务需求，计15分； 2.总体思路有条理性，实施方案能满足服务，内容较全面，有一定针对性和可行性，相对满足磋商文件运维服务需求，计12分； 3.总体思路内容较全面、针对性一般、基本能达到预期效果，在满足磋商文件运维服务需求方面欠缺，计9分； 4.总体思路及条理性欠缺，实施方案不能全面满足服务要求，内容粗略简单，针对性差，不能完全满足磋商文件运维服务需求，计6分；5.内容有所欠缺，与磋商文件运维服务需求相关性较小，需要改进才能达到预期效果，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1.重点及难点把握准确，分析到位，解决措施科学完善、切实可行，能保障项目顺利实施，得8分； 2.重点及难点把握较准确，分析较到位，解决措施相对合理可行，能相对保障项目实施，得6分； 3.重点及难点把握基本准确，分析基本到位，解决措施一般，保障项目实施一般，得4分； 4.重点及难点把握有偏差，分析简单，无针对性，措施内容空泛，得2分；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杂物清理方案及水质检测方案</w:t>
            </w:r>
          </w:p>
        </w:tc>
        <w:tc>
          <w:tcPr>
            <w:tcW w:type="dxa" w:w="2492"/>
          </w:tcPr>
          <w:p>
            <w:pPr>
              <w:pStyle w:val="null3"/>
            </w:pPr>
            <w:r>
              <w:rPr>
                <w:rFonts w:ascii="仿宋_GB2312" w:hAnsi="仿宋_GB2312" w:cs="仿宋_GB2312" w:eastAsia="仿宋_GB2312"/>
              </w:rPr>
              <w:t>提供具体杂物清理方案及水质检测方案： 1.方案完整、切实可行，针对性强、可操作性强，满足磋商文件要求得6分； 2.方案较为完整，针对性较强，基本满足磋商文件要求得 4分； 3.方案有明显缺陷，针对性较差，在项目实施过程中可能存在工作不到位、较难满足实际需求得2分；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拟投入本项目的设备、保养工具及物料配置</w:t>
            </w:r>
          </w:p>
        </w:tc>
        <w:tc>
          <w:tcPr>
            <w:tcW w:type="dxa" w:w="2492"/>
          </w:tcPr>
          <w:p>
            <w:pPr>
              <w:pStyle w:val="null3"/>
            </w:pPr>
            <w:r>
              <w:rPr>
                <w:rFonts w:ascii="仿宋_GB2312" w:hAnsi="仿宋_GB2312" w:cs="仿宋_GB2312" w:eastAsia="仿宋_GB2312"/>
              </w:rPr>
              <w:t>1.拟投入本项目的设备、保养工具及物料配置齐全，满足运行管理需要，且专业性高，得6分； 2.拟投入本项目的的设备较齐全，用途较明确，满足项目工作需求，且专业性较高，得4分； 3.拟投入本项目的设备、保养工具及物料配置，整体一般，得2分；未提供不得分。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1、工作计划及进度清晰完善，进度安排合理明确，操作性强，得8分； 2、工作计划及进度相对完善，进度安排相对合理，操作性较强，得6分； 3、工作计划及进度基本完善，进度安排合理性差，操作性较差，得4分； 4、工作计划及进度简单笼统，无针对性，得2分；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供应商应根据污水处理站的运行实际情况，充分考虑运行风险，制定合理可行的质量保障措施以及规范工作措施。 1、质量目标详细，保障措施及规范工作措施具体、可行性强，得8分； 2、质量目标较详细，保障措施及规范工作措施较具体、可行性较强，得6分； 3、质量目标较详细，有一定的保障措施及规范工作措施，得4分； 4、质量目标简单，保障措施及规范工作措施简单笼统，无针对性，得2分。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1.人员组织架构完整，岗位设置合理、明确，技术人员专业性、经验性强，且有针对性，得6分； 2.人员组织架构有 待优化，技术人员岗位设置基本合 理，人员专业性、经验性一般，得4分； 3.人员组织架构不完整，人 员岗位设置紧张，技术人员专业性 、经验性欠缺，得2分； 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项目经理要求</w:t>
            </w:r>
          </w:p>
        </w:tc>
        <w:tc>
          <w:tcPr>
            <w:tcW w:type="dxa" w:w="2492"/>
          </w:tcPr>
          <w:p>
            <w:pPr>
              <w:pStyle w:val="null3"/>
            </w:pPr>
            <w:r>
              <w:rPr>
                <w:rFonts w:ascii="仿宋_GB2312" w:hAnsi="仿宋_GB2312" w:cs="仿宋_GB2312" w:eastAsia="仿宋_GB2312"/>
              </w:rPr>
              <w:t>项目经理具备高级环境治理工程师、高级污水处理工和高级水处理工程师证书，每提供一个得 2 分，满分 6 分。 （注：提供复印件加盖公章）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提供针对本项目的管理制度、交接班制度、药剂使用记录表、检测记录表、日常运行记录、设备设施维护保养记录，保障整体操作规范运行；内容完整，方案详细，每提供一项得1分；内容不完整，有缺项，方案简单粗略，每项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污水处理站运行手册完整性、响应性</w:t>
            </w:r>
          </w:p>
        </w:tc>
        <w:tc>
          <w:tcPr>
            <w:tcW w:type="dxa" w:w="2492"/>
          </w:tcPr>
          <w:p>
            <w:pPr>
              <w:pStyle w:val="null3"/>
            </w:pPr>
            <w:r>
              <w:rPr>
                <w:rFonts w:ascii="仿宋_GB2312" w:hAnsi="仿宋_GB2312" w:cs="仿宋_GB2312" w:eastAsia="仿宋_GB2312"/>
              </w:rPr>
              <w:t>1.提供的污水处理站运行手册内容完整性、响应性强，得5分； 2.提供的污水处理站运行手册内容完整性一般、响应性一般，得3分； 3.提供的污水处理站运行手册内容内容简单笼统，无针对性，得1分；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提供应急保障措施，对于各类突发事件具有应急处理预案。 1.应急响应措施及方案全面、针对性强、可实施性强，得5分； 2.应急响应措施及方案较简单、针对性一般、基本合理可行，得3分； 3.应急响应措施及方案有待优化，没有针对性，得1分。 无或其它不得分。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对本次项目的服务承诺（包含但不限于针对本项目的各项服务质量目标、保障措施及服务人员入场计划等内容），各管理项目指标达到国家相关标准。 1.服务承诺内容详细、齐全，承诺2小时内响应、4小时内解决问题计6分； 2.服务承诺内容较详细、基本齐全，承诺5小时内响应、8小时内解决问题计4分； 3.服务承诺内容有欠缺、需要改进后可实施的，承诺8小时内响应、24小时内解决问题计2分； 无或其它不得分。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日至磋商时间止所提供的类似项目业绩,每项业绩得 1 分，最高得 5 分。 注：业绩须提供合同复印件或成交通知书(加盖供应商公章)。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详见附件：合同-陕西省交通医院污水处理.docx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