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版本号：DCZX2025-ZCGK-FW103720250611001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全省化工园区和危险化学品重点监管点位安全风险评估项目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DCZX2025-ZCGK-FW1037</w:t>
      </w:r>
      <w:r>
        <w:br/>
      </w:r>
      <w:r>
        <w:br/>
      </w:r>
      <w:r>
        <w:br/>
      </w:r>
    </w:p>
    <w:p>
      <w:pPr>
        <w:pStyle w:val="null3"/>
        <w:jc w:val="center"/>
        <w:outlineLvl w:val="2"/>
      </w:pPr>
      <w:r>
        <w:rPr>
          <w:rFonts w:ascii="仿宋_GB2312" w:hAnsi="仿宋_GB2312" w:cs="仿宋_GB2312" w:eastAsia="仿宋_GB2312"/>
          <w:sz w:val="28"/>
          <w:b/>
        </w:rPr>
        <w:t>陕西省应急管理厅</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陕西省应急管理厅</w:t>
      </w:r>
      <w:r>
        <w:rPr>
          <w:rFonts w:ascii="仿宋_GB2312" w:hAnsi="仿宋_GB2312" w:cs="仿宋_GB2312" w:eastAsia="仿宋_GB2312"/>
        </w:rPr>
        <w:t>委托，拟对</w:t>
      </w:r>
      <w:r>
        <w:rPr>
          <w:rFonts w:ascii="仿宋_GB2312" w:hAnsi="仿宋_GB2312" w:cs="仿宋_GB2312" w:eastAsia="仿宋_GB2312"/>
        </w:rPr>
        <w:t>全省化工园区和危险化学品重点监管点位安全风险评估项目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DCZX2025-ZCGK-FW1037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全省化工园区和危险化学品重点监管点位安全风险评估项目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按照化工和危险化学品安全生产治本攻坚三年行动要求，对实施重点监管、风险隐患相对集中的15个化工园区和60家危险化学品生产企业开展安全风险评估工作。通过评估，切实查找影响危险化学品安全生产的共性问题、突出问题和深层次问题，研判化工园区和涉及高危工艺、重大危险源企业存在的系统性风险隐患，提升防范化解危险化学品领域重大安全风险能力，推动园区和企业落实安全生产主体责任，提升企业本质安全水平和安全管理能力。</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 ：法定代表人授权书（法定代表人直接参加投标，须提供法定代表人身份证明）；</w:t>
      </w:r>
    </w:p>
    <w:p>
      <w:pPr>
        <w:pStyle w:val="null3"/>
      </w:pPr>
      <w:r>
        <w:rPr>
          <w:rFonts w:ascii="仿宋_GB2312" w:hAnsi="仿宋_GB2312" w:cs="仿宋_GB2312" w:eastAsia="仿宋_GB2312"/>
        </w:rPr>
        <w:t>2、信用信息 ：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pPr>
      <w:r>
        <w:rPr>
          <w:rFonts w:ascii="仿宋_GB2312" w:hAnsi="仿宋_GB2312" w:cs="仿宋_GB2312" w:eastAsia="仿宋_GB2312"/>
        </w:rPr>
        <w:t>3、联合体投标 ：本项目不接受联合体投标。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陕西省应急管理厅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029-61166177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计委颁发的《招标代理服务收费管理暂行办法》（计价格[2002]1980号）和国家发展改革委员会办公厅颁发的《关于招标代理服务收费有关问题的通知》(发改办价格[2003]857号）的有关规定执行。 2、中标单位在领取中标通知书前，须向采购代理机构一次性支付采购代理服务费。 代理费缴存账户： 开户名称：陕西鼎成项目管理咨询有限公司 开户银行：中国民生银行西安枫林绿洲支行 账号：171277297 （备注：项目名称+项目编号） 3、中标供应商在领取中标通知书时须携带法定代表人授权书及加盖单位公章的被授权人身份证复印件。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陕西省应急管理厅</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陕西省应急管理厅</w:t>
      </w:r>
      <w:r>
        <w:rPr>
          <w:rFonts w:ascii="仿宋_GB2312" w:hAnsi="仿宋_GB2312" w:cs="仿宋_GB2312" w:eastAsia="仿宋_GB2312"/>
        </w:rPr>
        <w:t>负责解释。除上述招标文件内容，其他内容由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陕西省应急管理厅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化工和危险化学品安全生产治本攻坚三年行动要求，对实施重点监管、风险隐患相对集中的15个化工园区和60家危险化学品生产企业开展安全风险评估工作。通过评估，切实查找影响危险化学品安全生产的共性问题、突出问题和深层次问题，研判化工园区和涉及高危工艺、重大危险源企业存在的系统性风险隐患，提升防范化解危险化学品领域重大安全风险能力，推动园区和企业落实安全生产主体责任，提升企业本质安全水平和安全管理能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6,600,000.00</w:t>
      </w:r>
    </w:p>
    <w:p>
      <w:pPr>
        <w:pStyle w:val="null3"/>
      </w:pPr>
      <w:r>
        <w:rPr>
          <w:rFonts w:ascii="仿宋_GB2312" w:hAnsi="仿宋_GB2312" w:cs="仿宋_GB2312" w:eastAsia="仿宋_GB2312"/>
        </w:rPr>
        <w:t>采购包最高限价（元）: 6,600,000.00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全省化工园区和危险化学品监管点位安全风险评估项目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标的名称：全省化工园区和危险化学品监管点位安全风险评估项目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w:t>
            </w:r>
            <w:r>
              <w:rPr>
                <w:rFonts w:ascii="仿宋_GB2312" w:hAnsi="仿宋_GB2312" w:cs="仿宋_GB2312" w:eastAsia="仿宋_GB2312"/>
                <w:b/>
              </w:rPr>
              <w:t>、项目概况</w:t>
            </w:r>
          </w:p>
          <w:p>
            <w:pPr>
              <w:pStyle w:val="null3"/>
              <w:ind w:firstLine="480"/>
              <w:jc w:val="both"/>
            </w:pPr>
            <w:r>
              <w:rPr>
                <w:rFonts w:ascii="仿宋_GB2312" w:hAnsi="仿宋_GB2312" w:cs="仿宋_GB2312" w:eastAsia="仿宋_GB2312"/>
                <w:sz w:val="24"/>
              </w:rPr>
              <w:t>按照化工和危险化学品安全生产治本攻坚三年行动要求，对实施重点监管、风险隐患相对集中的</w:t>
            </w:r>
            <w:r>
              <w:rPr>
                <w:rFonts w:ascii="仿宋_GB2312" w:hAnsi="仿宋_GB2312" w:cs="仿宋_GB2312" w:eastAsia="仿宋_GB2312"/>
                <w:sz w:val="24"/>
              </w:rPr>
              <w:t>15</w:t>
            </w:r>
            <w:r>
              <w:rPr>
                <w:rFonts w:ascii="仿宋_GB2312" w:hAnsi="仿宋_GB2312" w:cs="仿宋_GB2312" w:eastAsia="仿宋_GB2312"/>
                <w:sz w:val="24"/>
              </w:rPr>
              <w:t>个化工园区和</w:t>
            </w:r>
            <w:r>
              <w:rPr>
                <w:rFonts w:ascii="仿宋_GB2312" w:hAnsi="仿宋_GB2312" w:cs="仿宋_GB2312" w:eastAsia="仿宋_GB2312"/>
                <w:sz w:val="24"/>
              </w:rPr>
              <w:t>60</w:t>
            </w:r>
            <w:r>
              <w:rPr>
                <w:rFonts w:ascii="仿宋_GB2312" w:hAnsi="仿宋_GB2312" w:cs="仿宋_GB2312" w:eastAsia="仿宋_GB2312"/>
                <w:sz w:val="24"/>
              </w:rPr>
              <w:t>家危险化学品生产企业开展安全风险评估工作。通过评估，切实查找影响危险化学品安全生产的共性问题、突出问题和深层次问题，研判化工园区和涉及高危工艺、重大危险源企业存在的系统性风险隐患，提升防范化解危险化学品领域重大安全风险能力，推动园区和企业落实安全生产主体责任，提升企业本质安全水平和安全管理能力。</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技术要求</w:t>
            </w:r>
          </w:p>
          <w:p>
            <w:pPr>
              <w:pStyle w:val="null3"/>
              <w:ind w:firstLine="480"/>
              <w:jc w:val="both"/>
            </w:pPr>
            <w:r>
              <w:rPr>
                <w:rFonts w:ascii="仿宋_GB2312" w:hAnsi="仿宋_GB2312" w:cs="仿宋_GB2312" w:eastAsia="仿宋_GB2312"/>
                <w:sz w:val="24"/>
              </w:rPr>
              <w:t>（一）围绕化工园区</w:t>
            </w:r>
            <w:r>
              <w:rPr>
                <w:rFonts w:ascii="仿宋_GB2312" w:hAnsi="仿宋_GB2312" w:cs="仿宋_GB2312" w:eastAsia="仿宋_GB2312"/>
                <w:sz w:val="24"/>
              </w:rPr>
              <w:t>“</w:t>
            </w:r>
            <w:r>
              <w:rPr>
                <w:rFonts w:ascii="仿宋_GB2312" w:hAnsi="仿宋_GB2312" w:cs="仿宋_GB2312" w:eastAsia="仿宋_GB2312"/>
                <w:sz w:val="24"/>
              </w:rPr>
              <w:t>十有两禁</w:t>
            </w:r>
            <w:r>
              <w:rPr>
                <w:rFonts w:ascii="仿宋_GB2312" w:hAnsi="仿宋_GB2312" w:cs="仿宋_GB2312" w:eastAsia="仿宋_GB2312"/>
                <w:sz w:val="24"/>
              </w:rPr>
              <w:t>”</w:t>
            </w:r>
            <w:r>
              <w:rPr>
                <w:rFonts w:ascii="仿宋_GB2312" w:hAnsi="仿宋_GB2312" w:cs="仿宋_GB2312" w:eastAsia="仿宋_GB2312"/>
                <w:sz w:val="24"/>
              </w:rPr>
              <w:t>建设、专业安全监管人员配备、安全防护距离、化工园区特殊作业安全监管抽查制度、承包商管理场景和智能化平台建设应用等内容开展</w:t>
            </w:r>
            <w:r>
              <w:rPr>
                <w:rFonts w:ascii="仿宋_GB2312" w:hAnsi="仿宋_GB2312" w:cs="仿宋_GB2312" w:eastAsia="仿宋_GB2312"/>
                <w:sz w:val="24"/>
              </w:rPr>
              <w:t>1</w:t>
            </w:r>
            <w:r>
              <w:rPr>
                <w:rFonts w:ascii="仿宋_GB2312" w:hAnsi="仿宋_GB2312" w:cs="仿宋_GB2312" w:eastAsia="仿宋_GB2312"/>
                <w:sz w:val="24"/>
              </w:rPr>
              <w:t>次深层次、全方位、解剖式安全风险评估，平均每个化工园区工作天数</w:t>
            </w:r>
            <w:r>
              <w:rPr>
                <w:rFonts w:ascii="仿宋_GB2312" w:hAnsi="仿宋_GB2312" w:cs="仿宋_GB2312" w:eastAsia="仿宋_GB2312"/>
                <w:sz w:val="24"/>
              </w:rPr>
              <w:t>3</w:t>
            </w:r>
            <w:r>
              <w:rPr>
                <w:rFonts w:ascii="仿宋_GB2312" w:hAnsi="仿宋_GB2312" w:cs="仿宋_GB2312" w:eastAsia="仿宋_GB2312"/>
                <w:sz w:val="24"/>
              </w:rPr>
              <w:t>天</w:t>
            </w:r>
            <w:r>
              <w:rPr>
                <w:rFonts w:ascii="仿宋_GB2312" w:hAnsi="仿宋_GB2312" w:cs="仿宋_GB2312" w:eastAsia="仿宋_GB2312"/>
                <w:sz w:val="24"/>
              </w:rPr>
              <w:t>,</w:t>
            </w:r>
            <w:r>
              <w:rPr>
                <w:rFonts w:ascii="仿宋_GB2312" w:hAnsi="仿宋_GB2312" w:cs="仿宋_GB2312" w:eastAsia="仿宋_GB2312"/>
                <w:sz w:val="24"/>
              </w:rPr>
              <w:t>总计工作时间不少于</w:t>
            </w:r>
            <w:r>
              <w:rPr>
                <w:rFonts w:ascii="仿宋_GB2312" w:hAnsi="仿宋_GB2312" w:cs="仿宋_GB2312" w:eastAsia="仿宋_GB2312"/>
                <w:sz w:val="24"/>
              </w:rPr>
              <w:t>45</w:t>
            </w:r>
            <w:r>
              <w:rPr>
                <w:rFonts w:ascii="仿宋_GB2312" w:hAnsi="仿宋_GB2312" w:cs="仿宋_GB2312" w:eastAsia="仿宋_GB2312"/>
                <w:sz w:val="24"/>
              </w:rPr>
              <w:t>个工作日。</w:t>
            </w:r>
          </w:p>
          <w:p>
            <w:pPr>
              <w:pStyle w:val="null3"/>
              <w:ind w:firstLine="480"/>
              <w:jc w:val="both"/>
            </w:pPr>
            <w:r>
              <w:rPr>
                <w:rFonts w:ascii="仿宋_GB2312" w:hAnsi="仿宋_GB2312" w:cs="仿宋_GB2312" w:eastAsia="仿宋_GB2312"/>
                <w:sz w:val="24"/>
              </w:rPr>
              <w:t>（二）对涉及硝化、氯化、氟化、过氧化、重氮化等</w:t>
            </w:r>
            <w:r>
              <w:rPr>
                <w:rFonts w:ascii="仿宋_GB2312" w:hAnsi="仿宋_GB2312" w:cs="仿宋_GB2312" w:eastAsia="仿宋_GB2312"/>
                <w:sz w:val="24"/>
              </w:rPr>
              <w:t>5</w:t>
            </w:r>
            <w:r>
              <w:rPr>
                <w:rFonts w:ascii="仿宋_GB2312" w:hAnsi="仿宋_GB2312" w:cs="仿宋_GB2312" w:eastAsia="仿宋_GB2312"/>
                <w:sz w:val="24"/>
              </w:rPr>
              <w:t>种高危工艺的重大危险源企业、涉及老旧装置的重大危险源企业以及安全管理薄弱、风险较大且涉及重大危险源的民营企业等，共</w:t>
            </w:r>
            <w:r>
              <w:rPr>
                <w:rFonts w:ascii="仿宋_GB2312" w:hAnsi="仿宋_GB2312" w:cs="仿宋_GB2312" w:eastAsia="仿宋_GB2312"/>
                <w:sz w:val="24"/>
              </w:rPr>
              <w:t>60</w:t>
            </w:r>
            <w:r>
              <w:rPr>
                <w:rFonts w:ascii="仿宋_GB2312" w:hAnsi="仿宋_GB2312" w:cs="仿宋_GB2312" w:eastAsia="仿宋_GB2312"/>
                <w:sz w:val="24"/>
              </w:rPr>
              <w:t>家企业开展</w:t>
            </w:r>
            <w:r>
              <w:rPr>
                <w:rFonts w:ascii="仿宋_GB2312" w:hAnsi="仿宋_GB2312" w:cs="仿宋_GB2312" w:eastAsia="仿宋_GB2312"/>
                <w:sz w:val="24"/>
              </w:rPr>
              <w:t>1</w:t>
            </w:r>
            <w:r>
              <w:rPr>
                <w:rFonts w:ascii="仿宋_GB2312" w:hAnsi="仿宋_GB2312" w:cs="仿宋_GB2312" w:eastAsia="仿宋_GB2312"/>
                <w:sz w:val="24"/>
              </w:rPr>
              <w:t>次深层次、全方位、解剖式安全风险评估，平均每家企业工作天数为</w:t>
            </w:r>
            <w:r>
              <w:rPr>
                <w:rFonts w:ascii="仿宋_GB2312" w:hAnsi="仿宋_GB2312" w:cs="仿宋_GB2312" w:eastAsia="仿宋_GB2312"/>
                <w:sz w:val="24"/>
              </w:rPr>
              <w:t>2-3</w:t>
            </w:r>
            <w:r>
              <w:rPr>
                <w:rFonts w:ascii="仿宋_GB2312" w:hAnsi="仿宋_GB2312" w:cs="仿宋_GB2312" w:eastAsia="仿宋_GB2312"/>
                <w:sz w:val="24"/>
              </w:rPr>
              <w:t>天</w:t>
            </w:r>
            <w:r>
              <w:rPr>
                <w:rFonts w:ascii="仿宋_GB2312" w:hAnsi="仿宋_GB2312" w:cs="仿宋_GB2312" w:eastAsia="仿宋_GB2312"/>
                <w:sz w:val="24"/>
              </w:rPr>
              <w:t>,</w:t>
            </w:r>
            <w:r>
              <w:rPr>
                <w:rFonts w:ascii="仿宋_GB2312" w:hAnsi="仿宋_GB2312" w:cs="仿宋_GB2312" w:eastAsia="仿宋_GB2312"/>
                <w:sz w:val="24"/>
              </w:rPr>
              <w:t>总计工作时间不少于</w:t>
            </w:r>
            <w:r>
              <w:rPr>
                <w:rFonts w:ascii="仿宋_GB2312" w:hAnsi="仿宋_GB2312" w:cs="仿宋_GB2312" w:eastAsia="仿宋_GB2312"/>
                <w:sz w:val="24"/>
              </w:rPr>
              <w:t>150</w:t>
            </w:r>
            <w:r>
              <w:rPr>
                <w:rFonts w:ascii="仿宋_GB2312" w:hAnsi="仿宋_GB2312" w:cs="仿宋_GB2312" w:eastAsia="仿宋_GB2312"/>
                <w:sz w:val="24"/>
              </w:rPr>
              <w:t>个工作日。</w:t>
            </w:r>
          </w:p>
          <w:p>
            <w:pPr>
              <w:pStyle w:val="null3"/>
              <w:ind w:firstLine="480"/>
              <w:jc w:val="both"/>
            </w:pPr>
            <w:r>
              <w:rPr>
                <w:rFonts w:ascii="仿宋_GB2312" w:hAnsi="仿宋_GB2312" w:cs="仿宋_GB2312" w:eastAsia="仿宋_GB2312"/>
                <w:sz w:val="24"/>
              </w:rPr>
              <w:t>（三）对评估过程中存在重大风险隐患的企业开展复核，不少于</w:t>
            </w:r>
            <w:r>
              <w:rPr>
                <w:rFonts w:ascii="仿宋_GB2312" w:hAnsi="仿宋_GB2312" w:cs="仿宋_GB2312" w:eastAsia="仿宋_GB2312"/>
                <w:sz w:val="24"/>
              </w:rPr>
              <w:t>25</w:t>
            </w:r>
            <w:r>
              <w:rPr>
                <w:rFonts w:ascii="仿宋_GB2312" w:hAnsi="仿宋_GB2312" w:cs="仿宋_GB2312" w:eastAsia="仿宋_GB2312"/>
                <w:sz w:val="24"/>
              </w:rPr>
              <w:t>个工作日。</w:t>
            </w:r>
          </w:p>
          <w:p>
            <w:pPr>
              <w:pStyle w:val="null3"/>
              <w:jc w:val="both"/>
            </w:pPr>
            <w:r>
              <w:rPr>
                <w:rFonts w:ascii="仿宋_GB2312" w:hAnsi="仿宋_GB2312" w:cs="仿宋_GB2312" w:eastAsia="仿宋_GB2312"/>
                <w:sz w:val="24"/>
              </w:rPr>
              <w:t>（四）指导化工园区对存在问题实施整改提升。</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人员配置要求</w:t>
            </w:r>
          </w:p>
          <w:p>
            <w:pPr>
              <w:pStyle w:val="null3"/>
              <w:ind w:firstLine="480"/>
              <w:jc w:val="both"/>
            </w:pPr>
            <w:r>
              <w:rPr>
                <w:rFonts w:ascii="仿宋_GB2312" w:hAnsi="仿宋_GB2312" w:cs="仿宋_GB2312" w:eastAsia="仿宋_GB2312"/>
                <w:sz w:val="24"/>
              </w:rPr>
              <w:t>评估要求同时配备不少于</w:t>
            </w:r>
            <w:r>
              <w:rPr>
                <w:rFonts w:ascii="仿宋_GB2312" w:hAnsi="仿宋_GB2312" w:cs="仿宋_GB2312" w:eastAsia="仿宋_GB2312"/>
                <w:sz w:val="24"/>
              </w:rPr>
              <w:t>4</w:t>
            </w:r>
            <w:r>
              <w:rPr>
                <w:rFonts w:ascii="仿宋_GB2312" w:hAnsi="仿宋_GB2312" w:cs="仿宋_GB2312" w:eastAsia="仿宋_GB2312"/>
                <w:sz w:val="24"/>
              </w:rPr>
              <w:t>个工作组同时开展。每组涵盖安全管理、工艺管理、设备管理、电气仪表、设计总图等专业专家</w:t>
            </w:r>
            <w:r>
              <w:rPr>
                <w:rFonts w:ascii="仿宋_GB2312" w:hAnsi="仿宋_GB2312" w:cs="仿宋_GB2312" w:eastAsia="仿宋_GB2312"/>
                <w:sz w:val="24"/>
              </w:rPr>
              <w:t>5</w:t>
            </w:r>
            <w:r>
              <w:rPr>
                <w:rFonts w:ascii="仿宋_GB2312" w:hAnsi="仿宋_GB2312" w:cs="仿宋_GB2312" w:eastAsia="仿宋_GB2312"/>
                <w:sz w:val="24"/>
              </w:rPr>
              <w:t>名，并配备</w:t>
            </w:r>
            <w:r>
              <w:rPr>
                <w:rFonts w:ascii="仿宋_GB2312" w:hAnsi="仿宋_GB2312" w:cs="仿宋_GB2312" w:eastAsia="仿宋_GB2312"/>
                <w:sz w:val="24"/>
              </w:rPr>
              <w:t>1</w:t>
            </w:r>
            <w:r>
              <w:rPr>
                <w:rFonts w:ascii="仿宋_GB2312" w:hAnsi="仿宋_GB2312" w:cs="仿宋_GB2312" w:eastAsia="仿宋_GB2312"/>
                <w:sz w:val="24"/>
              </w:rPr>
              <w:t>位工作人员完成报告编写；复核要求专家组每组配备安全工艺、机电仪等专业专家</w:t>
            </w:r>
            <w:r>
              <w:rPr>
                <w:rFonts w:ascii="仿宋_GB2312" w:hAnsi="仿宋_GB2312" w:cs="仿宋_GB2312" w:eastAsia="仿宋_GB2312"/>
                <w:sz w:val="24"/>
              </w:rPr>
              <w:t>2</w:t>
            </w:r>
            <w:r>
              <w:rPr>
                <w:rFonts w:ascii="仿宋_GB2312" w:hAnsi="仿宋_GB2312" w:cs="仿宋_GB2312" w:eastAsia="仿宋_GB2312"/>
                <w:sz w:val="24"/>
              </w:rPr>
              <w:t>名，并配备工作人员</w:t>
            </w:r>
            <w:r>
              <w:rPr>
                <w:rFonts w:ascii="仿宋_GB2312" w:hAnsi="仿宋_GB2312" w:cs="仿宋_GB2312" w:eastAsia="仿宋_GB2312"/>
                <w:sz w:val="24"/>
              </w:rPr>
              <w:t>1</w:t>
            </w:r>
            <w:r>
              <w:rPr>
                <w:rFonts w:ascii="仿宋_GB2312" w:hAnsi="仿宋_GB2312" w:cs="仿宋_GB2312" w:eastAsia="仿宋_GB2312"/>
                <w:sz w:val="24"/>
              </w:rPr>
              <w:t>名完成复核报告编写。</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、成果要求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）各企业安全风险评估报告（含打分）；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）每个园区安全风险评估报告（含打分）；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）老旧装置企业安全风险研判报告；</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）高危工艺企业安全风险研判报告；</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）民营企业安全风险研判报告；</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）危险化学品企业重大问题隐患整改情况复核报告；</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）陕西省危险化学品企业安全风险评估总报告。</w:t>
            </w:r>
          </w:p>
          <w:p>
            <w:pPr>
              <w:pStyle w:val="null3"/>
              <w:jc w:val="both"/>
            </w:pPr>
            <w:r>
              <w:rPr>
                <w:rFonts w:ascii="仿宋_GB2312" w:hAnsi="仿宋_GB2312" w:cs="仿宋_GB2312" w:eastAsia="仿宋_GB2312"/>
                <w:sz w:val="24"/>
                <w:b/>
              </w:rPr>
              <w:t>五</w:t>
            </w:r>
            <w:r>
              <w:rPr>
                <w:rFonts w:ascii="仿宋_GB2312" w:hAnsi="仿宋_GB2312" w:cs="仿宋_GB2312" w:eastAsia="仿宋_GB2312"/>
                <w:sz w:val="24"/>
                <w:b/>
              </w:rPr>
              <w:t>、质量验收标准或规范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）完成化工园区安全风险等级评估</w:t>
            </w:r>
            <w:r>
              <w:rPr>
                <w:rFonts w:ascii="仿宋_GB2312" w:hAnsi="仿宋_GB2312" w:cs="仿宋_GB2312" w:eastAsia="仿宋_GB2312"/>
                <w:sz w:val="24"/>
              </w:rPr>
              <w:t>15</w:t>
            </w:r>
            <w:r>
              <w:rPr>
                <w:rFonts w:ascii="仿宋_GB2312" w:hAnsi="仿宋_GB2312" w:cs="仿宋_GB2312" w:eastAsia="仿宋_GB2312"/>
                <w:sz w:val="24"/>
              </w:rPr>
              <w:t>个，完成率</w:t>
            </w:r>
            <w:r>
              <w:rPr>
                <w:rFonts w:ascii="仿宋_GB2312" w:hAnsi="仿宋_GB2312" w:cs="仿宋_GB2312" w:eastAsia="仿宋_GB2312"/>
                <w:sz w:val="24"/>
              </w:rPr>
              <w:t>100%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）完成重大危险源企业安全风险等级评估</w:t>
            </w:r>
            <w:r>
              <w:rPr>
                <w:rFonts w:ascii="仿宋_GB2312" w:hAnsi="仿宋_GB2312" w:cs="仿宋_GB2312" w:eastAsia="仿宋_GB2312"/>
                <w:sz w:val="24"/>
              </w:rPr>
              <w:t>60</w:t>
            </w:r>
            <w:r>
              <w:rPr>
                <w:rFonts w:ascii="仿宋_GB2312" w:hAnsi="仿宋_GB2312" w:cs="仿宋_GB2312" w:eastAsia="仿宋_GB2312"/>
                <w:sz w:val="24"/>
              </w:rPr>
              <w:t>家，完成率</w:t>
            </w:r>
            <w:r>
              <w:rPr>
                <w:rFonts w:ascii="仿宋_GB2312" w:hAnsi="仿宋_GB2312" w:cs="仿宋_GB2312" w:eastAsia="仿宋_GB2312"/>
                <w:sz w:val="24"/>
              </w:rPr>
              <w:t>100%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）完成老旧装置企业安全风险研判报告</w:t>
            </w:r>
            <w:r>
              <w:rPr>
                <w:rFonts w:ascii="仿宋_GB2312" w:hAnsi="仿宋_GB2312" w:cs="仿宋_GB2312" w:eastAsia="仿宋_GB2312"/>
                <w:sz w:val="24"/>
              </w:rPr>
              <w:t>1</w:t>
            </w:r>
            <w:r>
              <w:rPr>
                <w:rFonts w:ascii="仿宋_GB2312" w:hAnsi="仿宋_GB2312" w:cs="仿宋_GB2312" w:eastAsia="仿宋_GB2312"/>
                <w:sz w:val="24"/>
              </w:rPr>
              <w:t>份，完成率</w:t>
            </w:r>
            <w:r>
              <w:rPr>
                <w:rFonts w:ascii="仿宋_GB2312" w:hAnsi="仿宋_GB2312" w:cs="仿宋_GB2312" w:eastAsia="仿宋_GB2312"/>
                <w:sz w:val="24"/>
              </w:rPr>
              <w:t>100%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）完成高危工艺企业安全风险研判报告，完成率</w:t>
            </w:r>
            <w:r>
              <w:rPr>
                <w:rFonts w:ascii="仿宋_GB2312" w:hAnsi="仿宋_GB2312" w:cs="仿宋_GB2312" w:eastAsia="仿宋_GB2312"/>
                <w:sz w:val="24"/>
              </w:rPr>
              <w:t>100%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）完成民营重大危险源企业安全风险研判报告，完成率</w:t>
            </w:r>
            <w:r>
              <w:rPr>
                <w:rFonts w:ascii="仿宋_GB2312" w:hAnsi="仿宋_GB2312" w:cs="仿宋_GB2312" w:eastAsia="仿宋_GB2312"/>
                <w:sz w:val="24"/>
              </w:rPr>
              <w:t>100%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）陕西省危险化学品企业安全风险评估总报告，完成率</w:t>
            </w:r>
            <w:r>
              <w:rPr>
                <w:rFonts w:ascii="仿宋_GB2312" w:hAnsi="仿宋_GB2312" w:cs="仿宋_GB2312" w:eastAsia="仿宋_GB2312"/>
                <w:sz w:val="24"/>
              </w:rPr>
              <w:t>100%</w:t>
            </w:r>
            <w:r>
              <w:rPr>
                <w:rFonts w:ascii="仿宋_GB2312" w:hAnsi="仿宋_GB2312" w:cs="仿宋_GB2312" w:eastAsia="仿宋_GB2312"/>
                <w:sz w:val="24"/>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根据招标文件及合同约定执行。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根据招标文件及合同约定执行。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陕西省应急管理厅指定地点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符合国家标准及采购人验收要求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提交成果报告并通过专家组论证</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1）根据投标供应商类别进行提供：①如供应商是企业（包括合伙企业），应提供在工商部门注册的有效“企业法人营业执照”或“营业执照”；②如供应商是事业单位，应提供有效的“事业单位法人证书”；③如供应商是为企业专业服务机构的，应提供执业许可证等证明文件；④如供应商是个体工商户，应提供有效的“个体工商户营业执照”；⑤其他组织提供民办非企业单位登记证；⑥如供应商为自然人，应提供有效的自然人身份证明。 2、提供2024年度经审计的财务报告（成立时间至提交投标文件截止时间不足一年的可提供成立后任意时段的资产负债表），或投标文件递交截止日前六个月内银行出具的资信证明； 3、提供投标文件递交截止日前一年内已缴存的至少一个月的社会保障资金缴存单据或社保机构开具的社会保险参保缴费情况证明，依法不需要缴纳社会保障资金的单位应提供相关证明材料； 4、提供投标文件递交截止日前一年内已缴纳的至少一个月的纳税证明或完税证明，依法免税的单位应提供相关证明材料；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提供2024年度经审计的财务报告（成立时间至提交投标文件截止时间不足一年的可提供成立后任意时段的资产负债表），或投标文件递交截止日前六个月内银行出具的资信证明。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投标方案.docx 分项报价表.docx 投标函 中小企业声明函 残疾人福利性单位声明函 标的清单 投标文件封面 陕西省政府采购供应商拒绝政府采购领域商业贿赂承诺书.docx 商务条款偏离表.docx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 投标方案.docx 分项报价表.docx 投标函 中小企业声明函 残疾人福利性单位声明函 标的清单 投标文件封面 陕西省政府采购供应商拒绝政府采购领域商业贿赂承诺书.docx 商务条款偏离表.docx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进度要求</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商务条款偏离表.docx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w:t>
            </w:r>
          </w:p>
        </w:tc>
        <w:tc>
          <w:tcPr>
            <w:tcW w:type="dxa" w:w="2492"/>
          </w:tcPr>
          <w:p>
            <w:pPr>
              <w:pStyle w:val="null3"/>
            </w:pPr>
            <w:r>
              <w:rPr>
                <w:rFonts w:ascii="仿宋_GB2312" w:hAnsi="仿宋_GB2312" w:cs="仿宋_GB2312" w:eastAsia="仿宋_GB2312"/>
              </w:rPr>
              <w:t>评审标准 1、完整性：完全理解采购需求，思路及方案清晰； 2、可实施性：切合本项目实际情况，步骤清晰、合理； 3、针对性：方案能够紧扣项目实际情况，内容科学合理。 赋分标准 每完全满足一项评审标准得3分，方案每有一处缺陷扣0.1分，扣完为止，不计负分。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针对本项目的项目重难点分析</w:t>
            </w:r>
          </w:p>
        </w:tc>
        <w:tc>
          <w:tcPr>
            <w:tcW w:type="dxa" w:w="2492"/>
          </w:tcPr>
          <w:p>
            <w:pPr>
              <w:pStyle w:val="null3"/>
            </w:pPr>
            <w:r>
              <w:rPr>
                <w:rFonts w:ascii="仿宋_GB2312" w:hAnsi="仿宋_GB2312" w:cs="仿宋_GB2312" w:eastAsia="仿宋_GB2312"/>
              </w:rPr>
              <w:t>评审标准 1、完整性：方案全面，对项目工作重点、难点认识准确，描述清晰； 2、可实施性：能对重点难点提出针对性的工作思路，工作思路清晰、可行性强； 3、针对性：方案符合本项目实际工作要求。 赋分标准 每完全满足一项评审标准得3分，方案每有一处缺陷扣0.1分，扣完为止，不计负分。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针对本项目的评估技术方案(包括但不限于①评估内容②评估标准③评估流程④评估方法等）</w:t>
            </w:r>
          </w:p>
        </w:tc>
        <w:tc>
          <w:tcPr>
            <w:tcW w:type="dxa" w:w="2492"/>
          </w:tcPr>
          <w:p>
            <w:pPr>
              <w:pStyle w:val="null3"/>
            </w:pPr>
            <w:r>
              <w:rPr>
                <w:rFonts w:ascii="仿宋_GB2312" w:hAnsi="仿宋_GB2312" w:cs="仿宋_GB2312" w:eastAsia="仿宋_GB2312"/>
              </w:rPr>
              <w:t>评审标准 1、完整性：方案须全面，对评审内容中的各项要求有详细描述及说明； 2、可实施性：切合本项目实际情况，步骤清晰、合理，操作性强； 3、针对性：方案能够紧扣项目实际情况，内容科学合理。 赋分标准 ①-④项评审内容：每项评审内容每完全满足一项评审标准得1.5分，每项评审内容每有一处缺陷扣0.1分，扣完为止，不计负分。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针对本项目提出的质量控制方案，方案内容包含（①项目整体质量控制方案②成果报告质量控制方案）</w:t>
            </w:r>
          </w:p>
        </w:tc>
        <w:tc>
          <w:tcPr>
            <w:tcW w:type="dxa" w:w="2492"/>
          </w:tcPr>
          <w:p>
            <w:pPr>
              <w:pStyle w:val="null3"/>
            </w:pPr>
            <w:r>
              <w:rPr>
                <w:rFonts w:ascii="仿宋_GB2312" w:hAnsi="仿宋_GB2312" w:cs="仿宋_GB2312" w:eastAsia="仿宋_GB2312"/>
              </w:rPr>
              <w:t>评审标准 1、完整性：方案须全面，对评审内容中的各项要求有详细描述及说明； 2、可实施性：切合本项目实际情况，步骤清晰、合理，操作性强； 3、针对性：方案能够紧扣项目实际情况，内容科学合理。 赋分标准 ①-②项评审内容：每项评审内容每完全满足一项评审标准得1.5分，每项评审内容每有一处缺陷扣0.1分，扣完为止，不计负分。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针对本项目提出的进度控制方案，方案内容包含（①项目整体进度控制方案②成果交付进度控制方案）</w:t>
            </w:r>
          </w:p>
        </w:tc>
        <w:tc>
          <w:tcPr>
            <w:tcW w:type="dxa" w:w="2492"/>
          </w:tcPr>
          <w:p>
            <w:pPr>
              <w:pStyle w:val="null3"/>
            </w:pPr>
            <w:r>
              <w:rPr>
                <w:rFonts w:ascii="仿宋_GB2312" w:hAnsi="仿宋_GB2312" w:cs="仿宋_GB2312" w:eastAsia="仿宋_GB2312"/>
              </w:rPr>
              <w:t>评审标准 1、完整性：方案须全面，对评审内容中的各项要求有详细描述及说明； 2、可实施性：切合本项目实际情况，步骤清晰、合理，操作性强； 3、针对性：方案能够紧扣项目实际情况，内容科学合理。 赋分标准 每项评审内容每完全满足一项评审标准得1.5分，每项评审内容每有一处缺陷扣0.1分，扣完为止，不计负分。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保密措施（对于该项目执行过程中，如何避免工作中知悉、接触的信息和材料的泄露制定的详细计划及措施）</w:t>
            </w:r>
          </w:p>
        </w:tc>
        <w:tc>
          <w:tcPr>
            <w:tcW w:type="dxa" w:w="2492"/>
          </w:tcPr>
          <w:p>
            <w:pPr>
              <w:pStyle w:val="null3"/>
            </w:pPr>
            <w:r>
              <w:rPr>
                <w:rFonts w:ascii="仿宋_GB2312" w:hAnsi="仿宋_GB2312" w:cs="仿宋_GB2312" w:eastAsia="仿宋_GB2312"/>
              </w:rPr>
              <w:t>评审标准 1、完整性：方案全面，科学合理，对评审内容中的各项要求有详细描述及说明； 2、可实施性：切合本项目实际情况，步骤清晰、合理； 3、针对性：方案符合法院工作要求。 赋分标准 每完全满足一项评审标准得2分，方案每有一处缺陷扣0.1分，扣完为止，不计负分。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投标供应商根据国家最新标准规范、技术方案、采购需求和自身经验编制评估检查表</w:t>
            </w:r>
          </w:p>
        </w:tc>
        <w:tc>
          <w:tcPr>
            <w:tcW w:type="dxa" w:w="2492"/>
          </w:tcPr>
          <w:p>
            <w:pPr>
              <w:pStyle w:val="null3"/>
            </w:pPr>
            <w:r>
              <w:rPr>
                <w:rFonts w:ascii="仿宋_GB2312" w:hAnsi="仿宋_GB2312" w:cs="仿宋_GB2312" w:eastAsia="仿宋_GB2312"/>
              </w:rPr>
              <w:t>评审标准 1、完整性：方案全面，科学合理，对评审内容中的各项要求有详细描述及说明； 2、可实施性：切合本项目实际情况，步骤清晰、合理； 3、针对性：方案符合法院工作要求。 赋分标准 每完全满足一项评审标准得3分，每有一处缺陷扣0.1分，扣完为止，不计负分。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具有正高级职称的得3分，高级职称的得2分；其他不得分。 项目负责人具有有效的注册安全工程师或安全评价师资质的得3分。 需提供项目负责人身份证、职称证、资格证等相关证明材料及2025年以来任意连续三个月本单位为其缴纳社保的证明（退休人员需提供退休证书及劳动合同或返聘证明）。</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投标人需配备不少于4个评估检查专家组，每组涵盖安全管理、工艺管理、设备管理、电气仪表、设计总图等专业专家不少于5名，并配备1位工作人员完成报告编写。在满足4个评估检查专家组（每组5+1人）基础上，每增加1组（5+1人），每组每人加0.5分，最多加9分。 2.投标人需配备复核组，且每组配备安全工艺、机电仪表等专业专家不少于2人，并配备工作人员1名完成复核报告编写，在满足2+1人基础上，每增加1组（2+1人），每组每人加0.5分，最多加6分。 注：评估检查专家组所有人员与复核专家组所有人员不得重复。 以上所有人员需提供身份证、职称证、资格证等相关证明材料。</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价格分采用低价优先法计算，即满足招标文件要求且投标价格最低的投标报价为评标基准价，其价格分为满分，其他供应商的价格分按照下列公式计算： 价格分=（评标基准价/投标报价）×10 根据相关规定，对符合要求小型和微型企业、残疾人企业、监狱企业的价格给予10%的扣除，用扣除后的价格参与评审。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