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91CDD">
      <w:pPr>
        <w:pStyle w:val="2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合同条款及格式</w:t>
      </w:r>
    </w:p>
    <w:p w14:paraId="01160971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甲方：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陕西省</w:t>
      </w:r>
      <w:r>
        <w:rPr>
          <w:rFonts w:hint="eastAsia" w:hAnsi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应急管理厅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        </w:t>
      </w:r>
    </w:p>
    <w:p w14:paraId="1D067BF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乙方：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（中标供应商）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bookmarkStart w:id="15" w:name="_GoBack"/>
      <w:bookmarkEnd w:id="15"/>
    </w:p>
    <w:p w14:paraId="55A671F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依据《中华人民共和国民法典》经甲、乙双方共同协商，按下述条款和条件签署本合同。</w:t>
      </w:r>
    </w:p>
    <w:p w14:paraId="7E0EA81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0" w:name="_Toc9696"/>
      <w:bookmarkStart w:id="1" w:name="_Toc29588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1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合同内容</w:t>
      </w:r>
    </w:p>
    <w:p w14:paraId="75607D7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乙方负责按照合同确定的内容提供甲方所需的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服务，内容及要求见附件。</w:t>
      </w:r>
    </w:p>
    <w:p w14:paraId="5DB3B5B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服务期：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64AA672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服务地点：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6A375FB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2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合同价格及支付</w:t>
      </w:r>
    </w:p>
    <w:p w14:paraId="31F19F7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合同金额为（大写）：人民币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（¥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元）。</w:t>
      </w:r>
    </w:p>
    <w:p w14:paraId="277F2FD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支付：</w:t>
      </w:r>
    </w:p>
    <w:p w14:paraId="4D041C3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（1）本合同的款项以对公转账方式支付。</w:t>
      </w:r>
    </w:p>
    <w:p w14:paraId="320BE9F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（2）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71F939D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（3）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477844B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（4）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1B3D3DE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注：合同价款包括项目直接费、间接费、运行费、税费等一切费用，不受市场价格变化的影响，并作为结算的唯一依据。</w:t>
      </w:r>
    </w:p>
    <w:p w14:paraId="3D465E4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2" w:name="_Toc18916_WPSOffice_Level2"/>
      <w:bookmarkStart w:id="3" w:name="_Toc10784"/>
      <w:bookmarkStart w:id="4" w:name="_Toc12297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3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服务</w:t>
      </w:r>
      <w:bookmarkEnd w:id="2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要求及标准</w:t>
      </w:r>
    </w:p>
    <w:bookmarkEnd w:id="3"/>
    <w:bookmarkEnd w:id="4"/>
    <w:p w14:paraId="4DA1E09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3.1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2B5B07D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3.2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6CC9A21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……</w:t>
      </w:r>
    </w:p>
    <w:p w14:paraId="1D28EEE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违约责任</w:t>
      </w:r>
    </w:p>
    <w:bookmarkEnd w:id="0"/>
    <w:bookmarkEnd w:id="1"/>
    <w:p w14:paraId="53DA1E1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.1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本合同若与甲方的上级管理机关的政策性行为或其他规定发生冲突，甲方有权与乙方协商调整合同内容或终止合同执行。</w:t>
      </w:r>
    </w:p>
    <w:p w14:paraId="2BCA4F7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.2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如乙方提供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的服务标准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与合同标准不相符合，则甲方有权拒收乙方提供的服务、解除本合同、拒付本合同项下的价款并追究乙方违约责任，乙方应返还甲方已支付的全部款项，并按合同总价款的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向甲方支付违约金并赔偿甲方因此而遭受的一切损失。</w:t>
      </w:r>
    </w:p>
    <w:p w14:paraId="54B48F9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.3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由于不可抗力（不可抗力仅指自然灾害、战争）所导致的违约，根据不可抗力的影响范围，可部分或全部免除违约方的违约责任，但违约方应及时通知对方并在不可抗力事件发生之日起5日内提供符合法律规定的证明文件，否则应赔偿对方因此而遭受的损失。</w:t>
      </w:r>
    </w:p>
    <w:p w14:paraId="4467388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.4 未及之处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按《民法典》中的相关条款执行。</w:t>
      </w:r>
    </w:p>
    <w:p w14:paraId="61FB1A20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5" w:name="_Toc14590"/>
      <w:bookmarkStart w:id="6" w:name="_Toc18421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5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保密条款</w:t>
      </w:r>
      <w:bookmarkEnd w:id="5"/>
      <w:bookmarkEnd w:id="6"/>
    </w:p>
    <w:p w14:paraId="611112B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甲、乙双方对本合同履行过程中获得的对方的资料数据、商业技术信息等承担保密责任。未经对方事先书面同意，任何一方不得以任何形式向第三方泄露，也不得公开本合同及其相关附件内容。本合同的解除或终止，不免除双方对本保密条款的遵守。</w:t>
      </w:r>
    </w:p>
    <w:p w14:paraId="383F9B1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7" w:name="_Toc18460"/>
      <w:bookmarkStart w:id="8" w:name="_Toc24354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6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</w:t>
      </w:r>
      <w:bookmarkEnd w:id="7"/>
      <w:bookmarkEnd w:id="8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保证</w:t>
      </w:r>
    </w:p>
    <w:p w14:paraId="619BAB30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除《中华人民共和国政府采购法》第49条、第50条第二款规定的情形外，本合同一经签订，甲乙双方不得擅自变更、中止或终止合同。</w:t>
      </w:r>
    </w:p>
    <w:p w14:paraId="352BD8C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9" w:name="_Toc2019"/>
      <w:bookmarkStart w:id="10" w:name="_Toc23231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7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合同争议解决的方式</w:t>
      </w:r>
      <w:bookmarkEnd w:id="9"/>
      <w:bookmarkEnd w:id="10"/>
    </w:p>
    <w:p w14:paraId="5F3FDC8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因服务的质量问题发生争议，由质量技术监督部门或其指定的质量鉴定机构进行质量鉴定。符合标准的，鉴定费由甲方承担；不符合质量标准的，鉴定费由乙方承担。</w:t>
      </w:r>
    </w:p>
    <w:p w14:paraId="6C41AFA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因履行本合同引起的或与本合同有关的争议，甲、乙双方应首先通过友好协商解决，如果协商不成，则采取以下第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>1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种方式解决争议：</w:t>
      </w:r>
    </w:p>
    <w:p w14:paraId="009CE21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（1）向甲方所在地有管辖权的人民法院提起诉讼；</w:t>
      </w:r>
    </w:p>
    <w:p w14:paraId="5B6D08A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（2）向西安仲裁委员会按其仲裁规则申请仲裁。</w:t>
      </w:r>
    </w:p>
    <w:p w14:paraId="4D1144A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仲裁期间，本合同应继续履行。</w:t>
      </w:r>
    </w:p>
    <w:p w14:paraId="227C7E04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1" w:name="_Toc23719"/>
      <w:bookmarkStart w:id="12" w:name="_Toc3946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8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合同文件</w:t>
      </w:r>
      <w:bookmarkEnd w:id="11"/>
      <w:bookmarkEnd w:id="12"/>
    </w:p>
    <w:p w14:paraId="7909C4EF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有关合同项目的特定信息由合同附件予以说明，下列文件构成本合同的组成部分，彼此相互解释，相互补充。组成合同的多个文件的优先支配地位的次序如下：</w:t>
      </w:r>
    </w:p>
    <w:p w14:paraId="26B827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本合同书（2）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通知书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（3）协议（4）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文件(含澄清或者修改文件)</w:t>
      </w:r>
    </w:p>
    <w:p w14:paraId="53E10B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（5）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投标文件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文件</w:t>
      </w:r>
    </w:p>
    <w:p w14:paraId="54BE0C84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3" w:name="_Toc16981"/>
      <w:bookmarkStart w:id="14" w:name="_Toc21719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9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其他事项</w:t>
      </w:r>
      <w:bookmarkEnd w:id="13"/>
      <w:bookmarkEnd w:id="14"/>
    </w:p>
    <w:p w14:paraId="6DC0605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陕西省财政厅在合同的履行期间以及履行期后，可以随时检查项目的执行情况，对采购标准、采购内容进行调查核实，并对发现的问题进行处理。</w:t>
      </w:r>
    </w:p>
    <w:p w14:paraId="6260073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  <w:t xml:space="preserve">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乙方应根据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文件的规定向采购代理机构交纳代理服务费并取得甲方的签章后，合同才正式生效。</w:t>
      </w:r>
    </w:p>
    <w:p w14:paraId="509B8E4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本合同一式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份，甲方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份，乙方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份，采购代理机构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壹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份。</w:t>
      </w:r>
    </w:p>
    <w:p w14:paraId="7A8DF4F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.4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本合同未尽事项，补充合同内容。</w:t>
      </w:r>
    </w:p>
    <w:p w14:paraId="773E8787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Times New Roman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4"/>
        </w:rPr>
        <w:t>（以下无正文）</w:t>
      </w:r>
    </w:p>
    <w:tbl>
      <w:tblPr>
        <w:tblStyle w:val="4"/>
        <w:tblpPr w:leftFromText="180" w:rightFromText="180" w:vertAnchor="text" w:horzAnchor="page" w:tblpX="1238" w:tblpY="359"/>
        <w:tblOverlap w:val="never"/>
        <w:tblW w:w="98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31"/>
      </w:tblGrid>
      <w:tr w14:paraId="7D104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325DB9D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甲方:                         （盖章）</w:t>
            </w:r>
          </w:p>
        </w:tc>
        <w:tc>
          <w:tcPr>
            <w:tcW w:w="4931" w:type="dxa"/>
            <w:noWrap w:val="0"/>
            <w:vAlign w:val="center"/>
          </w:tcPr>
          <w:p w14:paraId="09C8FB4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乙方:                    （盖章）</w:t>
            </w:r>
          </w:p>
        </w:tc>
      </w:tr>
      <w:tr w14:paraId="6A1AE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651F4E9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 xml:space="preserve">地址： </w:t>
            </w:r>
          </w:p>
        </w:tc>
        <w:tc>
          <w:tcPr>
            <w:tcW w:w="4931" w:type="dxa"/>
            <w:noWrap w:val="0"/>
            <w:vAlign w:val="center"/>
          </w:tcPr>
          <w:p w14:paraId="3A50185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地址：</w:t>
            </w:r>
          </w:p>
        </w:tc>
      </w:tr>
      <w:tr w14:paraId="03C37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4576203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  <w:tc>
          <w:tcPr>
            <w:tcW w:w="4931" w:type="dxa"/>
            <w:noWrap w:val="0"/>
            <w:vAlign w:val="center"/>
          </w:tcPr>
          <w:p w14:paraId="173AAF9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</w:tr>
      <w:tr w14:paraId="2C7AA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4928" w:type="dxa"/>
            <w:noWrap w:val="0"/>
            <w:vAlign w:val="top"/>
          </w:tcPr>
          <w:p w14:paraId="1167294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  <w:tc>
          <w:tcPr>
            <w:tcW w:w="4931" w:type="dxa"/>
            <w:noWrap w:val="0"/>
            <w:vAlign w:val="top"/>
          </w:tcPr>
          <w:p w14:paraId="3CA87DB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</w:tr>
      <w:tr w14:paraId="3C9FB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4928" w:type="dxa"/>
            <w:noWrap w:val="0"/>
            <w:vAlign w:val="top"/>
          </w:tcPr>
          <w:p w14:paraId="540A8F1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  <w:tc>
          <w:tcPr>
            <w:tcW w:w="4931" w:type="dxa"/>
            <w:noWrap w:val="0"/>
            <w:vAlign w:val="top"/>
          </w:tcPr>
          <w:p w14:paraId="27FB302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</w:tr>
      <w:tr w14:paraId="70067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6C03CDF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  <w:tc>
          <w:tcPr>
            <w:tcW w:w="4931" w:type="dxa"/>
            <w:noWrap w:val="0"/>
            <w:vAlign w:val="center"/>
          </w:tcPr>
          <w:p w14:paraId="2C4BAA2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</w:tr>
      <w:tr w14:paraId="1C0F3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231BDCD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  <w:tc>
          <w:tcPr>
            <w:tcW w:w="4931" w:type="dxa"/>
            <w:noWrap w:val="0"/>
            <w:vAlign w:val="center"/>
          </w:tcPr>
          <w:p w14:paraId="3C97303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</w:tr>
      <w:tr w14:paraId="65892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6B77BE1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4931" w:type="dxa"/>
            <w:noWrap w:val="0"/>
            <w:vAlign w:val="center"/>
          </w:tcPr>
          <w:p w14:paraId="35BA733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</w:tr>
      <w:tr w14:paraId="5B2A1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55337AD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  <w:tc>
          <w:tcPr>
            <w:tcW w:w="4931" w:type="dxa"/>
            <w:noWrap w:val="0"/>
            <w:vAlign w:val="center"/>
          </w:tcPr>
          <w:p w14:paraId="5C6982D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</w:tr>
      <w:tr w14:paraId="606CF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928" w:type="dxa"/>
            <w:noWrap w:val="0"/>
            <w:vAlign w:val="center"/>
          </w:tcPr>
          <w:p w14:paraId="447F59D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  <w:tc>
          <w:tcPr>
            <w:tcW w:w="4931" w:type="dxa"/>
            <w:noWrap w:val="0"/>
            <w:vAlign w:val="center"/>
          </w:tcPr>
          <w:p w14:paraId="61F13ED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年   月   日</w:t>
            </w:r>
          </w:p>
        </w:tc>
      </w:tr>
    </w:tbl>
    <w:p w14:paraId="337821CE">
      <w:pPr>
        <w:keepNext w:val="0"/>
        <w:keepLines w:val="0"/>
        <w:pageBreakBefore w:val="0"/>
        <w:widowControl w:val="0"/>
        <w:kinsoku/>
        <w:wordWrap/>
        <w:autoSpaceDE/>
        <w:bidi w:val="0"/>
        <w:spacing w:after="120" w:line="400" w:lineRule="exact"/>
        <w:jc w:val="both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0"/>
          <w:szCs w:val="20"/>
          <w:lang w:val="en-US" w:eastAsia="zh-CN" w:bidi="ar-SA"/>
        </w:rPr>
      </w:pPr>
    </w:p>
    <w:p w14:paraId="1A408606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</w:pPr>
    </w:p>
    <w:p w14:paraId="49C675F9">
      <w:pPr>
        <w:pStyle w:val="3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4E40AC"/>
    <w:multiLevelType w:val="singleLevel"/>
    <w:tmpl w:val="404E40A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A6924"/>
    <w:rsid w:val="268A6924"/>
    <w:rsid w:val="30622C98"/>
    <w:rsid w:val="4682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2939</Words>
  <Characters>3027</Characters>
  <Lines>0</Lines>
  <Paragraphs>0</Paragraphs>
  <TotalTime>0</TotalTime>
  <ScaleCrop>false</ScaleCrop>
  <LinksUpToDate>false</LinksUpToDate>
  <CharactersWithSpaces>3230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2025-05-21T04:08:00Z</dcterms:created>
  <dc:creator>QQQQ</dc:creator>
  <cp:lastModifiedBy>QQQQ</cp:lastModifiedBy>
  <dcterms:modified xsi:type="dcterms:W3CDTF">2025-06-05T06:02:47Z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B8E81BE031094941B2476217F37B1290_11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