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046D8">
      <w:pPr>
        <w:spacing w:line="360" w:lineRule="auto"/>
        <w:jc w:val="center"/>
        <w:rPr>
          <w:rFonts w:hint="eastAsia" w:ascii="楷体" w:hAnsi="楷体" w:eastAsia="楷体" w:cs="楷体"/>
          <w:b/>
          <w:bCs/>
          <w:color w:val="000000"/>
          <w:sz w:val="52"/>
          <w:szCs w:val="52"/>
          <w:u w:val="single"/>
        </w:rPr>
      </w:pPr>
    </w:p>
    <w:p w14:paraId="420E7EF9">
      <w:pPr>
        <w:spacing w:line="360" w:lineRule="auto"/>
        <w:jc w:val="center"/>
        <w:rPr>
          <w:rFonts w:hint="eastAsia" w:ascii="楷体" w:hAnsi="楷体" w:eastAsia="楷体" w:cs="楷体"/>
          <w:b/>
          <w:bCs/>
          <w:color w:val="000000"/>
          <w:sz w:val="52"/>
          <w:szCs w:val="52"/>
          <w:u w:val="single"/>
        </w:rPr>
      </w:pPr>
    </w:p>
    <w:p w14:paraId="231CCAF2">
      <w:pPr>
        <w:spacing w:line="360" w:lineRule="auto"/>
        <w:jc w:val="both"/>
        <w:rPr>
          <w:rFonts w:hint="eastAsia" w:ascii="楷体" w:hAnsi="楷体" w:eastAsia="楷体" w:cs="楷体"/>
          <w:b/>
          <w:bCs/>
          <w:color w:val="000000"/>
          <w:sz w:val="52"/>
          <w:szCs w:val="52"/>
          <w:u w:val="single"/>
        </w:rPr>
      </w:pPr>
    </w:p>
    <w:p w14:paraId="78DF6419">
      <w:pPr>
        <w:spacing w:line="360" w:lineRule="auto"/>
        <w:jc w:val="center"/>
        <w:rPr>
          <w:rFonts w:hint="eastAsia" w:ascii="楷体" w:hAnsi="楷体" w:eastAsia="楷体" w:cs="楷体"/>
          <w:b/>
          <w:bCs/>
          <w:color w:val="000000"/>
          <w:sz w:val="52"/>
          <w:szCs w:val="52"/>
          <w:u w:val="single"/>
        </w:rPr>
      </w:pPr>
    </w:p>
    <w:p w14:paraId="0C86B97B">
      <w:pPr>
        <w:spacing w:line="360" w:lineRule="auto"/>
        <w:jc w:val="center"/>
        <w:rPr>
          <w:rFonts w:hint="eastAsia" w:ascii="楷体" w:hAnsi="楷体" w:eastAsia="楷体" w:cs="楷体"/>
          <w:b/>
          <w:bCs/>
          <w:color w:val="000000"/>
          <w:sz w:val="48"/>
          <w:szCs w:val="48"/>
          <w:lang w:val="en-US" w:eastAsia="zh-CN"/>
        </w:rPr>
      </w:pPr>
      <w:r>
        <w:rPr>
          <w:rFonts w:hint="eastAsia" w:ascii="楷体" w:hAnsi="楷体" w:eastAsia="楷体" w:cs="楷体"/>
          <w:b/>
          <w:bCs/>
          <w:color w:val="000000"/>
          <w:sz w:val="48"/>
          <w:szCs w:val="48"/>
          <w:lang w:val="en-US" w:eastAsia="zh-CN"/>
        </w:rPr>
        <w:t>陕西省图书馆</w:t>
      </w:r>
    </w:p>
    <w:p w14:paraId="1BE1F15B">
      <w:pPr>
        <w:pStyle w:val="2"/>
        <w:jc w:val="center"/>
        <w:rPr>
          <w:rFonts w:hint="default" w:ascii="楷体" w:hAnsi="楷体" w:eastAsia="楷体" w:cs="楷体"/>
          <w:b/>
          <w:bCs/>
          <w:color w:val="000000"/>
          <w:kern w:val="0"/>
          <w:sz w:val="48"/>
          <w:szCs w:val="48"/>
          <w:lang w:val="en-US" w:eastAsia="zh-CN" w:bidi="ar-SA"/>
        </w:rPr>
      </w:pPr>
      <w:r>
        <w:rPr>
          <w:rFonts w:hint="eastAsia" w:ascii="楷体" w:hAnsi="楷体" w:eastAsia="楷体" w:cs="楷体"/>
          <w:b/>
          <w:bCs/>
          <w:color w:val="000000"/>
          <w:kern w:val="0"/>
          <w:sz w:val="48"/>
          <w:szCs w:val="48"/>
          <w:lang w:val="en-US" w:eastAsia="zh-CN" w:bidi="ar-SA"/>
        </w:rPr>
        <w:t>2026年度中文邮发期刊采购供货合同</w:t>
      </w:r>
    </w:p>
    <w:p w14:paraId="00789FAD">
      <w:pPr>
        <w:rPr>
          <w:rFonts w:hint="eastAsia" w:ascii="楷体" w:hAnsi="楷体" w:eastAsia="楷体" w:cs="楷体"/>
        </w:rPr>
      </w:pPr>
    </w:p>
    <w:p w14:paraId="43E41F3C">
      <w:pPr>
        <w:rPr>
          <w:rFonts w:hint="eastAsia" w:ascii="楷体" w:hAnsi="楷体" w:eastAsia="楷体" w:cs="楷体"/>
        </w:rPr>
      </w:pPr>
    </w:p>
    <w:p w14:paraId="1F968488">
      <w:pPr>
        <w:rPr>
          <w:rFonts w:hint="eastAsia" w:ascii="楷体" w:hAnsi="楷体" w:eastAsia="楷体" w:cs="楷体"/>
        </w:rPr>
      </w:pPr>
    </w:p>
    <w:p w14:paraId="177F1B7B">
      <w:pPr>
        <w:rPr>
          <w:rFonts w:hint="eastAsia" w:ascii="楷体" w:hAnsi="楷体" w:eastAsia="楷体" w:cs="楷体"/>
        </w:rPr>
      </w:pPr>
    </w:p>
    <w:p w14:paraId="5026FD96">
      <w:pPr>
        <w:jc w:val="center"/>
        <w:rPr>
          <w:rFonts w:hint="eastAsia" w:ascii="楷体" w:hAnsi="楷体" w:eastAsia="楷体" w:cs="楷体"/>
          <w:b/>
          <w:sz w:val="36"/>
          <w:szCs w:val="36"/>
        </w:rPr>
      </w:pPr>
    </w:p>
    <w:p w14:paraId="77EE8BF2">
      <w:pPr>
        <w:widowControl/>
        <w:spacing w:line="520" w:lineRule="exact"/>
        <w:jc w:val="center"/>
        <w:rPr>
          <w:rFonts w:hint="eastAsia" w:ascii="楷体" w:hAnsi="楷体" w:eastAsia="楷体" w:cs="楷体"/>
          <w:bCs/>
          <w:sz w:val="48"/>
          <w:szCs w:val="48"/>
        </w:rPr>
      </w:pPr>
    </w:p>
    <w:p w14:paraId="7D52AC14">
      <w:pPr>
        <w:widowControl/>
        <w:spacing w:line="520" w:lineRule="exact"/>
        <w:jc w:val="center"/>
        <w:rPr>
          <w:rFonts w:hint="eastAsia" w:ascii="楷体" w:hAnsi="楷体" w:eastAsia="楷体" w:cs="楷体"/>
          <w:bCs/>
          <w:sz w:val="48"/>
          <w:szCs w:val="48"/>
        </w:rPr>
      </w:pPr>
    </w:p>
    <w:p w14:paraId="2837CE6F">
      <w:pPr>
        <w:widowControl/>
        <w:spacing w:line="520" w:lineRule="exact"/>
        <w:jc w:val="center"/>
        <w:rPr>
          <w:rFonts w:hint="eastAsia" w:ascii="楷体" w:hAnsi="楷体" w:eastAsia="楷体" w:cs="楷体"/>
          <w:bCs/>
          <w:sz w:val="48"/>
          <w:szCs w:val="48"/>
        </w:rPr>
      </w:pPr>
    </w:p>
    <w:p w14:paraId="2A652963">
      <w:pPr>
        <w:widowControl/>
        <w:spacing w:line="520" w:lineRule="exact"/>
        <w:jc w:val="center"/>
        <w:rPr>
          <w:rFonts w:hint="eastAsia" w:ascii="楷体" w:hAnsi="楷体" w:eastAsia="楷体" w:cs="楷体"/>
          <w:bCs/>
          <w:sz w:val="48"/>
          <w:szCs w:val="48"/>
        </w:rPr>
      </w:pPr>
    </w:p>
    <w:p w14:paraId="757C69AB">
      <w:pPr>
        <w:widowControl/>
        <w:spacing w:line="520" w:lineRule="exact"/>
        <w:jc w:val="center"/>
        <w:rPr>
          <w:rFonts w:hint="eastAsia" w:ascii="楷体" w:hAnsi="楷体" w:eastAsia="楷体" w:cs="楷体"/>
          <w:bCs/>
          <w:sz w:val="48"/>
          <w:szCs w:val="48"/>
        </w:rPr>
      </w:pPr>
    </w:p>
    <w:p w14:paraId="1B79471C">
      <w:pPr>
        <w:widowControl/>
        <w:spacing w:line="520" w:lineRule="exact"/>
        <w:jc w:val="center"/>
        <w:rPr>
          <w:rFonts w:hint="eastAsia" w:ascii="楷体" w:hAnsi="楷体" w:eastAsia="楷体" w:cs="楷体"/>
          <w:bCs/>
          <w:sz w:val="48"/>
          <w:szCs w:val="48"/>
        </w:rPr>
      </w:pPr>
    </w:p>
    <w:p w14:paraId="6DDFA82A">
      <w:pPr>
        <w:widowControl/>
        <w:spacing w:line="520" w:lineRule="exact"/>
        <w:jc w:val="center"/>
        <w:rPr>
          <w:rFonts w:hint="eastAsia" w:ascii="楷体" w:hAnsi="楷体" w:eastAsia="楷体" w:cs="楷体"/>
          <w:bCs/>
          <w:sz w:val="48"/>
          <w:szCs w:val="48"/>
        </w:rPr>
      </w:pPr>
    </w:p>
    <w:p w14:paraId="3A0BB204">
      <w:pPr>
        <w:widowControl/>
        <w:spacing w:line="520" w:lineRule="exact"/>
        <w:ind w:firstLine="960" w:firstLineChars="400"/>
        <w:jc w:val="left"/>
        <w:rPr>
          <w:rFonts w:hint="eastAsia" w:ascii="楷体" w:hAnsi="楷体" w:eastAsia="楷体" w:cs="楷体"/>
          <w:bCs/>
          <w:szCs w:val="24"/>
        </w:rPr>
      </w:pPr>
      <w:r>
        <w:rPr>
          <w:rFonts w:hint="eastAsia" w:ascii="楷体" w:hAnsi="楷体" w:eastAsia="楷体" w:cs="楷体"/>
          <w:bCs/>
          <w:szCs w:val="24"/>
        </w:rPr>
        <w:t>甲方（采购人）：</w:t>
      </w:r>
      <w:r>
        <w:rPr>
          <w:rFonts w:hint="eastAsia" w:ascii="楷体" w:hAnsi="楷体" w:eastAsia="楷体" w:cs="楷体"/>
          <w:bCs/>
          <w:szCs w:val="24"/>
          <w:u w:val="single"/>
        </w:rPr>
        <w:t xml:space="preserve">   </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 xml:space="preserve">            </w:t>
      </w:r>
    </w:p>
    <w:p w14:paraId="67B8E478">
      <w:pPr>
        <w:widowControl/>
        <w:spacing w:line="520" w:lineRule="exact"/>
        <w:ind w:firstLine="960" w:firstLineChars="400"/>
        <w:jc w:val="left"/>
        <w:rPr>
          <w:rFonts w:hint="eastAsia" w:ascii="楷体" w:hAnsi="楷体" w:eastAsia="楷体" w:cs="楷体"/>
          <w:bCs/>
          <w:szCs w:val="24"/>
        </w:rPr>
      </w:pPr>
      <w:r>
        <w:rPr>
          <w:rFonts w:hint="eastAsia" w:ascii="楷体" w:hAnsi="楷体" w:eastAsia="楷体" w:cs="楷体"/>
          <w:bCs/>
          <w:szCs w:val="24"/>
        </w:rPr>
        <w:t>乙方（供应商）：</w:t>
      </w:r>
      <w:r>
        <w:rPr>
          <w:rFonts w:hint="eastAsia" w:ascii="楷体" w:hAnsi="楷体" w:eastAsia="楷体" w:cs="楷体"/>
          <w:bCs/>
          <w:szCs w:val="24"/>
          <w:u w:val="single"/>
        </w:rPr>
        <w:t xml:space="preserve">   </w:t>
      </w:r>
      <w:r>
        <w:rPr>
          <w:rFonts w:hint="eastAsia" w:ascii="楷体" w:hAnsi="楷体" w:eastAsia="楷体" w:cs="楷体"/>
          <w:bCs/>
          <w:szCs w:val="24"/>
          <w:u w:val="single"/>
          <w:lang w:val="en-US" w:eastAsia="zh-CN"/>
        </w:rPr>
        <w:t xml:space="preserve">                           </w:t>
      </w:r>
      <w:r>
        <w:rPr>
          <w:rFonts w:hint="eastAsia" w:ascii="楷体" w:hAnsi="楷体" w:eastAsia="楷体" w:cs="楷体"/>
          <w:bCs/>
          <w:sz w:val="48"/>
          <w:szCs w:val="48"/>
        </w:rPr>
        <w:br w:type="page"/>
      </w:r>
      <w:r>
        <w:rPr>
          <w:rFonts w:hint="eastAsia" w:ascii="楷体" w:hAnsi="楷体" w:eastAsia="楷体" w:cs="楷体"/>
          <w:bCs/>
          <w:sz w:val="48"/>
          <w:szCs w:val="48"/>
          <w:lang w:val="en-US" w:eastAsia="zh-CN"/>
        </w:rPr>
        <w:t xml:space="preserve">  </w:t>
      </w:r>
      <w:r>
        <w:rPr>
          <w:rFonts w:hint="eastAsia" w:ascii="楷体" w:hAnsi="楷体" w:eastAsia="楷体" w:cs="楷体"/>
          <w:bCs/>
          <w:szCs w:val="24"/>
        </w:rPr>
        <w:t>甲乙双方根据</w:t>
      </w:r>
      <w:r>
        <w:rPr>
          <w:rFonts w:hint="eastAsia" w:ascii="楷体" w:hAnsi="楷体" w:eastAsia="楷体" w:cs="楷体"/>
          <w:bCs/>
          <w:szCs w:val="24"/>
          <w:u w:val="single"/>
        </w:rPr>
        <w:t xml:space="preserve">           </w:t>
      </w:r>
      <w:r>
        <w:rPr>
          <w:rFonts w:hint="eastAsia" w:ascii="楷体" w:hAnsi="楷体" w:eastAsia="楷体" w:cs="楷体"/>
          <w:bCs/>
          <w:szCs w:val="24"/>
        </w:rPr>
        <w:t>政府采购项目（项目编号：</w:t>
      </w:r>
      <w:r>
        <w:rPr>
          <w:rFonts w:hint="eastAsia" w:ascii="楷体" w:hAnsi="楷体" w:eastAsia="楷体" w:cs="楷体"/>
          <w:bCs/>
          <w:szCs w:val="24"/>
          <w:u w:val="single"/>
        </w:rPr>
        <w:t xml:space="preserve">          </w:t>
      </w:r>
      <w:r>
        <w:rPr>
          <w:rFonts w:hint="eastAsia" w:ascii="楷体" w:hAnsi="楷体" w:eastAsia="楷体" w:cs="楷体"/>
          <w:bCs/>
          <w:szCs w:val="24"/>
        </w:rPr>
        <w:t>）采购结果及相关招投标文件，经协商一致，订立本合同，供双方共同遵守：</w:t>
      </w:r>
    </w:p>
    <w:p w14:paraId="3A3F3BAB">
      <w:pPr>
        <w:widowControl/>
        <w:spacing w:line="520" w:lineRule="exact"/>
        <w:jc w:val="left"/>
        <w:rPr>
          <w:rFonts w:hint="eastAsia" w:ascii="楷体" w:hAnsi="楷体" w:eastAsia="楷体" w:cs="楷体"/>
          <w:b/>
          <w:szCs w:val="24"/>
        </w:rPr>
      </w:pPr>
      <w:r>
        <w:rPr>
          <w:rFonts w:hint="eastAsia" w:ascii="楷体" w:hAnsi="楷体" w:eastAsia="楷体" w:cs="楷体"/>
          <w:b/>
          <w:szCs w:val="24"/>
          <w:lang w:val="en-US" w:eastAsia="zh-CN"/>
        </w:rPr>
        <w:t>一、</w:t>
      </w:r>
      <w:r>
        <w:rPr>
          <w:rFonts w:hint="eastAsia" w:ascii="楷体" w:hAnsi="楷体" w:eastAsia="楷体" w:cs="楷体"/>
          <w:b/>
          <w:szCs w:val="24"/>
        </w:rPr>
        <w:t>合同标的物内容、数量及价格：</w:t>
      </w:r>
    </w:p>
    <w:p w14:paraId="63D2E085">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1.内容：2026年度中文邮发期刊采购</w:t>
      </w:r>
    </w:p>
    <w:p w14:paraId="5DDE73C0">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2.数量：暂计</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u w:val="single"/>
        </w:rPr>
        <w:t xml:space="preserve"> </w:t>
      </w:r>
      <w:r>
        <w:rPr>
          <w:rFonts w:hint="eastAsia" w:ascii="楷体" w:hAnsi="楷体" w:eastAsia="楷体" w:cs="楷体"/>
          <w:bCs/>
          <w:szCs w:val="24"/>
        </w:rPr>
        <w:t>种</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份(具体数量根据上年度停退刊情况最终确认);</w:t>
      </w:r>
    </w:p>
    <w:p w14:paraId="4636650E">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3.合同总价格(大写):暂计1</w:t>
      </w:r>
      <w:r>
        <w:rPr>
          <w:rFonts w:hint="eastAsia" w:ascii="楷体" w:hAnsi="楷体" w:eastAsia="楷体" w:cs="楷体"/>
          <w:bCs/>
          <w:szCs w:val="24"/>
          <w:lang w:val="en-US" w:eastAsia="zh-CN"/>
        </w:rPr>
        <w:t>7</w:t>
      </w:r>
      <w:r>
        <w:rPr>
          <w:rFonts w:hint="eastAsia" w:ascii="楷体" w:hAnsi="楷体" w:eastAsia="楷体" w:cs="楷体"/>
          <w:bCs/>
          <w:szCs w:val="24"/>
        </w:rPr>
        <w:t xml:space="preserve">0万元，大写： </w:t>
      </w:r>
      <w:r>
        <w:rPr>
          <w:rFonts w:hint="eastAsia" w:ascii="楷体" w:hAnsi="楷体" w:eastAsia="楷体" w:cs="楷体"/>
          <w:bCs/>
          <w:szCs w:val="24"/>
          <w:lang w:val="en-US" w:eastAsia="zh-CN"/>
        </w:rPr>
        <w:t>壹佰柒拾万元整</w:t>
      </w:r>
      <w:r>
        <w:rPr>
          <w:rFonts w:hint="eastAsia" w:ascii="楷体" w:hAnsi="楷体" w:eastAsia="楷体" w:cs="楷体"/>
          <w:bCs/>
          <w:szCs w:val="24"/>
        </w:rPr>
        <w:t>。</w:t>
      </w:r>
    </w:p>
    <w:p w14:paraId="1B674C45">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确认乙方中标折扣为：</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lang w:val="en-US" w:eastAsia="zh-CN"/>
        </w:rPr>
        <w:t xml:space="preserve"> </w:t>
      </w:r>
      <w:r>
        <w:rPr>
          <w:rFonts w:hint="eastAsia" w:ascii="楷体" w:hAnsi="楷体" w:eastAsia="楷体" w:cs="楷体"/>
          <w:bCs/>
          <w:szCs w:val="24"/>
        </w:rPr>
        <w:t>%。</w:t>
      </w:r>
    </w:p>
    <w:p w14:paraId="304759BB">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结算方式：人民币，结算价=供货订单总码洋×</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w:t>
      </w:r>
    </w:p>
    <w:p w14:paraId="1D62831D">
      <w:pPr>
        <w:widowControl/>
        <w:spacing w:line="520" w:lineRule="exact"/>
        <w:ind w:firstLine="480" w:firstLineChars="200"/>
        <w:jc w:val="left"/>
        <w:rPr>
          <w:rFonts w:hint="eastAsia" w:ascii="楷体" w:hAnsi="楷体" w:eastAsia="楷体" w:cs="楷体"/>
          <w:szCs w:val="24"/>
        </w:rPr>
      </w:pPr>
      <w:r>
        <w:rPr>
          <w:rFonts w:hint="eastAsia" w:ascii="楷体" w:hAnsi="楷体" w:eastAsia="楷体" w:cs="楷体"/>
          <w:bCs/>
          <w:szCs w:val="24"/>
        </w:rPr>
        <w:t>合同总价格为所有费用在内价格，包括但不限于：期刊价格、运输费、运输保险费、装卸费、包装费、加工费及耗材(书标、条形码、钴基永久磁条)费用、售后服务费、税金等，除此之外，甲方不再另行支付任何费用。</w:t>
      </w:r>
    </w:p>
    <w:p w14:paraId="7CE1223E">
      <w:pPr>
        <w:widowControl/>
        <w:spacing w:line="520" w:lineRule="exact"/>
        <w:jc w:val="left"/>
        <w:rPr>
          <w:rFonts w:hint="eastAsia" w:ascii="楷体" w:hAnsi="楷体" w:eastAsia="楷体" w:cs="楷体"/>
          <w:b/>
          <w:szCs w:val="24"/>
        </w:rPr>
      </w:pPr>
      <w:r>
        <w:rPr>
          <w:rFonts w:hint="eastAsia" w:ascii="楷体" w:hAnsi="楷体" w:eastAsia="楷体" w:cs="楷体"/>
          <w:b/>
          <w:szCs w:val="24"/>
          <w:lang w:val="en-US" w:eastAsia="zh-CN"/>
        </w:rPr>
        <w:t>二、</w:t>
      </w:r>
      <w:r>
        <w:rPr>
          <w:rFonts w:hint="eastAsia" w:ascii="楷体" w:hAnsi="楷体" w:eastAsia="楷体" w:cs="楷体"/>
          <w:b/>
          <w:szCs w:val="24"/>
        </w:rPr>
        <w:t>期刊订购</w:t>
      </w:r>
    </w:p>
    <w:p w14:paraId="4713C9F9">
      <w:pPr>
        <w:pStyle w:val="5"/>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1.乙方需提供202</w:t>
      </w:r>
      <w:r>
        <w:rPr>
          <w:rFonts w:hint="eastAsia" w:ascii="楷体" w:hAnsi="楷体" w:eastAsia="楷体" w:cs="楷体"/>
          <w:bCs/>
          <w:kern w:val="2"/>
          <w:sz w:val="24"/>
          <w:szCs w:val="24"/>
          <w:lang w:val="en-US" w:eastAsia="zh-CN"/>
        </w:rPr>
        <w:t>6</w:t>
      </w:r>
      <w:r>
        <w:rPr>
          <w:rFonts w:hint="eastAsia" w:ascii="楷体" w:hAnsi="楷体" w:eastAsia="楷体" w:cs="楷体"/>
          <w:bCs/>
          <w:kern w:val="2"/>
          <w:sz w:val="24"/>
          <w:szCs w:val="24"/>
        </w:rPr>
        <w:t>年中文邮发期刊目录供甲方订购；协助甲方对重点类别期刊进行重点收集；提供甲方指定期刊的订购服务。如遇到甲方订单调整，乙方应在2个工作日内向甲方反馈调整的落实情况。</w:t>
      </w:r>
    </w:p>
    <w:p w14:paraId="5882D2A9">
      <w:pPr>
        <w:pStyle w:val="5"/>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2.甲方提出的报订目录单，乙方必须在5个工作日内查重，并将</w:t>
      </w:r>
      <w:r>
        <w:rPr>
          <w:rFonts w:hint="eastAsia" w:ascii="楷体" w:hAnsi="楷体" w:eastAsia="楷体" w:cs="楷体"/>
          <w:bCs/>
          <w:kern w:val="2"/>
          <w:sz w:val="24"/>
          <w:szCs w:val="24"/>
          <w:highlight w:val="none"/>
        </w:rPr>
        <w:t xml:space="preserve">其制成xlsx  </w:t>
      </w:r>
      <w:r>
        <w:rPr>
          <w:rFonts w:hint="eastAsia" w:ascii="楷体" w:hAnsi="楷体" w:eastAsia="楷体" w:cs="楷体"/>
          <w:bCs/>
          <w:kern w:val="2"/>
          <w:sz w:val="24"/>
          <w:szCs w:val="24"/>
        </w:rPr>
        <w:t>格式文件发还给甲方进行确认。如因乙方未进行查重，以致重复报订，甲方无需再次支付报订费用。已经重复支付的报订费用，乙方应予以返还。</w:t>
      </w:r>
    </w:p>
    <w:p w14:paraId="0B22C941">
      <w:pPr>
        <w:pStyle w:val="5"/>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3.甲方在每季度初，有权要求乙方提供上一季度未到刊总表，并就个别刊物随时提出查询要求，乙方须在收到甲方要求后24小时内解答，不得拖延、滞后。</w:t>
      </w:r>
    </w:p>
    <w:p w14:paraId="06764340">
      <w:pPr>
        <w:pStyle w:val="5"/>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4.为保护甲方报订目录单得以有效执行，乙方的截止报订日期为</w:t>
      </w:r>
      <w:r>
        <w:rPr>
          <w:rFonts w:hint="eastAsia" w:ascii="楷体" w:hAnsi="楷体" w:eastAsia="楷体" w:cs="楷体"/>
          <w:bCs/>
          <w:szCs w:val="24"/>
          <w:u w:val="single"/>
          <w:lang w:val="en-US" w:eastAsia="zh-CN"/>
        </w:rPr>
        <w:t xml:space="preserve">  </w:t>
      </w:r>
      <w:r>
        <w:rPr>
          <w:rFonts w:hint="eastAsia" w:ascii="楷体" w:hAnsi="楷体" w:eastAsia="楷体" w:cs="楷体"/>
          <w:bCs/>
          <w:kern w:val="2"/>
          <w:sz w:val="24"/>
          <w:szCs w:val="24"/>
        </w:rPr>
        <w:t>年</w:t>
      </w:r>
      <w:r>
        <w:rPr>
          <w:rFonts w:hint="eastAsia" w:ascii="楷体" w:hAnsi="楷体" w:eastAsia="楷体" w:cs="楷体"/>
          <w:bCs/>
          <w:szCs w:val="24"/>
          <w:u w:val="single"/>
          <w:lang w:val="en-US" w:eastAsia="zh-CN"/>
        </w:rPr>
        <w:t xml:space="preserve">  </w:t>
      </w:r>
      <w:r>
        <w:rPr>
          <w:rFonts w:hint="eastAsia" w:ascii="楷体" w:hAnsi="楷体" w:eastAsia="楷体" w:cs="楷体"/>
          <w:bCs/>
          <w:kern w:val="2"/>
          <w:sz w:val="24"/>
          <w:szCs w:val="24"/>
        </w:rPr>
        <w:t>月日。此后，甲方如有撤订、补订要求，甲方向乙方发出通知，乙方须执行甲方通知内容，并在2个工作日内向甲方反馈调整的落实情况。</w:t>
      </w:r>
    </w:p>
    <w:p w14:paraId="32D83DB5">
      <w:pPr>
        <w:pStyle w:val="5"/>
        <w:keepNext w:val="0"/>
        <w:keepLines w:val="0"/>
        <w:pageBreakBefore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5.乙方应建立订购期刊库，用于对甲方订单进行查重。</w:t>
      </w:r>
    </w:p>
    <w:p w14:paraId="58EDF0FB">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楷体" w:hAnsi="楷体" w:eastAsia="楷体" w:cs="楷体"/>
          <w:bCs/>
          <w:kern w:val="2"/>
          <w:sz w:val="24"/>
          <w:szCs w:val="24"/>
        </w:rPr>
      </w:pPr>
      <w:r>
        <w:rPr>
          <w:rFonts w:hint="eastAsia" w:ascii="楷体" w:hAnsi="楷体" w:eastAsia="楷体" w:cs="楷体"/>
          <w:bCs/>
          <w:kern w:val="2"/>
          <w:sz w:val="24"/>
          <w:szCs w:val="24"/>
        </w:rPr>
        <w:t>6.甲方及时将更新的馆藏采访数据 (ISO或 xlsx格式)移交乙方，乙方应在收到甲方订单后，更新订购数据库，并进行订单查重，对有问题(如订数过多、大码洋或疑似订重)的订单与甲方再次核实后妥善处理。</w:t>
      </w:r>
    </w:p>
    <w:p w14:paraId="2D8CC419">
      <w:pPr>
        <w:pStyle w:val="4"/>
        <w:spacing w:line="520" w:lineRule="exact"/>
        <w:rPr>
          <w:rFonts w:hint="eastAsia" w:ascii="楷体" w:hAnsi="楷体" w:eastAsia="楷体" w:cs="楷体"/>
          <w:b/>
          <w:sz w:val="24"/>
          <w:szCs w:val="24"/>
        </w:rPr>
      </w:pPr>
      <w:r>
        <w:rPr>
          <w:rFonts w:hint="eastAsia" w:ascii="楷体" w:hAnsi="楷体" w:eastAsia="楷体" w:cs="楷体"/>
          <w:b/>
          <w:sz w:val="24"/>
          <w:szCs w:val="24"/>
          <w:lang w:val="en-US" w:eastAsia="zh-CN"/>
        </w:rPr>
        <w:t>三、</w:t>
      </w:r>
      <w:r>
        <w:rPr>
          <w:rFonts w:hint="eastAsia" w:ascii="楷体" w:hAnsi="楷体" w:eastAsia="楷体" w:cs="楷体"/>
          <w:b/>
          <w:color w:val="000000"/>
          <w:sz w:val="24"/>
          <w:szCs w:val="24"/>
        </w:rPr>
        <w:t>期刊包装运输保险</w:t>
      </w:r>
    </w:p>
    <w:p w14:paraId="311FB6FD">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1.所有订购期刊须由乙方免费送到甲方指定馆内地点，在期刊送交到甲方指定地点并经甲方验收合格之前所发生的费用及风险均由乙方承担。</w:t>
      </w:r>
    </w:p>
    <w:p w14:paraId="497F7C7B">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2.乙方需按照甲方要求对期刊打包，做到清单随包走，批次无间隔。每批期刊附一式两份的汇总单(包括该批期刊的批号、包数、册数等项目); 每包期刊附一式两份的打印装箱单及电子清单(包括该包期刊的序号、刊名、册数、卷次号等项目)。</w:t>
      </w:r>
    </w:p>
    <w:p w14:paraId="24DF44A2">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每批(包)期刊的品种、册数等必须与对应的清单相符。如果在验收过程中，同一批次期刊出现3%的期刊品种与相应清单不符，甲方有权退回该批次全部期刊，要求乙方重新核对，直至该批期刊与清单相符。乙方连续出现3次或累计出现5次上述出错现象，甲方有权解除合同。因此产生的一切经济损失由乙方自行承担。</w:t>
      </w:r>
    </w:p>
    <w:p w14:paraId="51A8AFA1">
      <w:pPr>
        <w:widowControl/>
        <w:spacing w:line="520" w:lineRule="exact"/>
        <w:jc w:val="left"/>
        <w:rPr>
          <w:rFonts w:hint="eastAsia" w:ascii="楷体" w:hAnsi="楷体" w:eastAsia="楷体" w:cs="楷体"/>
          <w:b/>
          <w:szCs w:val="24"/>
        </w:rPr>
      </w:pPr>
      <w:r>
        <w:rPr>
          <w:rFonts w:hint="eastAsia" w:ascii="楷体" w:hAnsi="楷体" w:eastAsia="楷体" w:cs="楷体"/>
          <w:b/>
          <w:szCs w:val="24"/>
          <w:lang w:val="en-US" w:eastAsia="zh-CN"/>
        </w:rPr>
        <w:t>四、</w:t>
      </w:r>
      <w:r>
        <w:rPr>
          <w:rFonts w:hint="eastAsia" w:ascii="楷体" w:hAnsi="楷体" w:eastAsia="楷体" w:cs="楷体"/>
          <w:b/>
          <w:szCs w:val="24"/>
        </w:rPr>
        <w:t>价款的结算</w:t>
      </w:r>
    </w:p>
    <w:p w14:paraId="15282886">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1.为保证甲</w:t>
      </w:r>
      <w:r>
        <w:rPr>
          <w:rFonts w:hint="eastAsia" w:ascii="楷体" w:hAnsi="楷体" w:eastAsia="楷体" w:cs="楷体"/>
          <w:bCs/>
          <w:szCs w:val="24"/>
          <w:highlight w:val="none"/>
        </w:rPr>
        <w:t>方服务，乙方每周须送刊6-8次；每期期刊，乙方自收到期刊起3日内送达甲方指定地点(乙方须同时保证期刊在出版日期后十日</w:t>
      </w:r>
      <w:r>
        <w:rPr>
          <w:rFonts w:hint="eastAsia" w:ascii="楷体" w:hAnsi="楷体" w:eastAsia="楷体" w:cs="楷体"/>
          <w:bCs/>
          <w:szCs w:val="24"/>
        </w:rPr>
        <w:t>内必须送达);法定节假日按甲方要求时段投递。乙方应在送货前与甲方协商确定具体的送货时间、批数、地点，并提供免费送货与卸货服务。因乙方配送错误引致的损失由乙方自负。</w:t>
      </w:r>
    </w:p>
    <w:p w14:paraId="2E4B5D34">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如因出版单位自身原因而导致无法正常送刊的，或协议供货期内发生变动或不能到货的订单，乙方必须告知甲方，如在30日内仍无法正常送刊，甲方有权退订该批次全部期刊，或更换其他刊物。</w:t>
      </w:r>
    </w:p>
    <w:p w14:paraId="3FC2EA90">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2.交货地点：</w:t>
      </w:r>
      <w:r>
        <w:rPr>
          <w:rFonts w:hint="eastAsia" w:ascii="楷体" w:hAnsi="楷体" w:eastAsia="楷体" w:cs="楷体"/>
          <w:bCs/>
          <w:szCs w:val="24"/>
          <w:lang w:val="en-US" w:eastAsia="zh-CN"/>
        </w:rPr>
        <w:t>甲方指定地点</w:t>
      </w:r>
      <w:bookmarkStart w:id="0" w:name="_GoBack"/>
      <w:bookmarkEnd w:id="0"/>
      <w:r>
        <w:rPr>
          <w:rFonts w:hint="eastAsia" w:ascii="楷体" w:hAnsi="楷体" w:eastAsia="楷体" w:cs="楷体"/>
          <w:bCs/>
          <w:szCs w:val="24"/>
        </w:rPr>
        <w:t>。</w:t>
      </w:r>
    </w:p>
    <w:p w14:paraId="6C3D2ADB">
      <w:pPr>
        <w:widowControl/>
        <w:spacing w:line="520" w:lineRule="exact"/>
        <w:jc w:val="left"/>
        <w:rPr>
          <w:rFonts w:hint="eastAsia" w:ascii="楷体" w:hAnsi="楷体" w:eastAsia="楷体" w:cs="楷体"/>
          <w:b/>
          <w:szCs w:val="24"/>
        </w:rPr>
      </w:pPr>
      <w:r>
        <w:rPr>
          <w:rFonts w:hint="eastAsia" w:ascii="楷体" w:hAnsi="楷体" w:eastAsia="楷体" w:cs="楷体"/>
          <w:b/>
          <w:szCs w:val="24"/>
          <w:lang w:val="en-US" w:eastAsia="zh-CN"/>
        </w:rPr>
        <w:t>五、</w:t>
      </w:r>
      <w:r>
        <w:rPr>
          <w:rFonts w:hint="eastAsia" w:ascii="楷体" w:hAnsi="楷体" w:eastAsia="楷体" w:cs="楷体"/>
          <w:b/>
          <w:szCs w:val="24"/>
        </w:rPr>
        <w:t>期刊验收</w:t>
      </w:r>
    </w:p>
    <w:p w14:paraId="5CCD3BA8">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甲方验收过程中若发现有非正版期刊，污损、图文不清、缺页、倒页、缺附件、模糊不清、折页、开线、开胶、随刊附件不齐全等质量不合格期刊，以及与采购订单不符的期刊，一律由乙方负责在3-5个工作日内无条件免费予以退换或补充相关附件，由此造成的任何损失及费用全部由乙方承担。期刊所附附件一律随刊送达，不得缺失。</w:t>
      </w:r>
    </w:p>
    <w:p w14:paraId="0F39788B">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2.除停刊或并刊的情况外，乙方对于甲方订购的品种必须全部提供，确保供货期内到货率在100%。</w:t>
      </w:r>
    </w:p>
    <w:p w14:paraId="5FF581DC">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在乙方供期刊间，因乙方造成的期刊缺漏、破损、丢失等情况，乙方负责20日内补刊。不能补刊的，按合同第九条第4款执行。否则，乙方按原刊价的五倍向甲方支付违约金。</w:t>
      </w:r>
    </w:p>
    <w:p w14:paraId="2F1C2716">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期刊到馆后，因各种原因不适合图书馆收藏的，无论是否已作前期载体加工，乙方均应无条件退换；甲方采购期刊一般情况下不重复，如果到馆期刊出现非甲方计划购置的复本或品种，乙方应全部无条件退货。因乙方提供的期刊信息不明确或错误而导致的甲方误订的期刊，期刊到货后，甲方要求退货的，乙方不得拒绝。</w:t>
      </w:r>
    </w:p>
    <w:p w14:paraId="1D0727E5">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4.乙方应保证所供应期刊的质量，包括装订与印刷质量、附件的完好性；保证所供应期刊的内容、版本及进货来源合法，并承担相应的法律责任。</w:t>
      </w:r>
    </w:p>
    <w:p w14:paraId="1F5267AA">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5.当甲方对期刊价格有疑问时，乙方应提供有关资料供甲方查询。当期刊价格不合理，甲方可拒收。</w:t>
      </w:r>
    </w:p>
    <w:p w14:paraId="463A9783">
      <w:pPr>
        <w:widowControl/>
        <w:spacing w:line="520" w:lineRule="exact"/>
        <w:jc w:val="left"/>
        <w:rPr>
          <w:rFonts w:hint="eastAsia" w:ascii="楷体" w:hAnsi="楷体" w:eastAsia="楷体" w:cs="楷体"/>
          <w:b/>
          <w:szCs w:val="24"/>
        </w:rPr>
      </w:pPr>
      <w:r>
        <w:rPr>
          <w:rFonts w:hint="eastAsia" w:ascii="楷体" w:hAnsi="楷体" w:eastAsia="楷体" w:cs="楷体"/>
          <w:b/>
          <w:szCs w:val="24"/>
        </w:rPr>
        <w:t>六、售后服务及拓展服务</w:t>
      </w:r>
    </w:p>
    <w:p w14:paraId="25171FB3">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乙方承诺对甲方所订当年期刊，在到馆前做出如下加工：每册贴磁条一根(钴基永久磁条)。要求粘贴时靠近装订线，不得影响翻页阅读。封面左上角贴空白书标一张(要求避开期刊题名、刊期、出版年月等重要信息)。</w:t>
      </w:r>
    </w:p>
    <w:p w14:paraId="0275A812">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2.乙方按照甲方要求提供空白条形码(含过刊合订本条形码)。</w:t>
      </w:r>
    </w:p>
    <w:p w14:paraId="2998847F">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乙方承诺按甲方要求，派人在甲方规定时间内到甲方指定地点进行过期期刊合订本的数据加工，对期刊合订本进行计算机馆藏数据添加工作，包括但不限于合订期刊粘贴馆藏条形码、盖馆藏章、添加复本的数据加工工作等。乙方所派数据加工人员需经甲方培训，如不合格则乙方无条件换人；乙方的期刊辅助加工及上门完成数据加工人员应相对稳定，以保证加工质量。(乙方若不能派出加工人员的，需使用甲方指定个人或机构完成数据加工工作，人工费用和耗材费用由乙方承担。)</w:t>
      </w:r>
    </w:p>
    <w:p w14:paraId="4C5A532E">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4.服务中所有耗材费(条形码、磁条、书标费用)由乙方承担。乙方承诺能随甲方的工作变化，适时调整服务项目。</w:t>
      </w:r>
    </w:p>
    <w:p w14:paraId="33D1E2EA">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5.乙方应建立“陕西省图书馆预订期刊数据库”,且该数据库应具有对甲方预订的期刊进行到货情况查询的能力。</w:t>
      </w:r>
    </w:p>
    <w:p w14:paraId="039B8853">
      <w:pPr>
        <w:widowControl/>
        <w:spacing w:line="520" w:lineRule="exact"/>
        <w:jc w:val="left"/>
        <w:rPr>
          <w:rFonts w:hint="eastAsia" w:ascii="楷体" w:hAnsi="楷体" w:eastAsia="楷体" w:cs="楷体"/>
          <w:b/>
          <w:szCs w:val="24"/>
        </w:rPr>
      </w:pPr>
      <w:r>
        <w:rPr>
          <w:rFonts w:hint="eastAsia" w:ascii="楷体" w:hAnsi="楷体" w:eastAsia="楷体" w:cs="楷体"/>
          <w:b/>
          <w:szCs w:val="24"/>
        </w:rPr>
        <w:t>七、耗材要求和质量保证</w:t>
      </w:r>
    </w:p>
    <w:p w14:paraId="5E72C7B9">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乙方严格遵守采购人期刊加工耗材规格和质量要求，同时达到国家标准，提供加工耗材时同时提供耗材产品质量检验合格证，供采购人进行加工耗材质量检查。期刊加工耗材、要求和规格包括但不限于如下材料：</w:t>
      </w:r>
    </w:p>
    <w:tbl>
      <w:tblPr>
        <w:tblStyle w:val="9"/>
        <w:tblW w:w="88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1208"/>
        <w:gridCol w:w="4574"/>
        <w:gridCol w:w="2383"/>
      </w:tblGrid>
      <w:tr w14:paraId="3FB6B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714" w:type="dxa"/>
            <w:noWrap w:val="0"/>
            <w:vAlign w:val="top"/>
          </w:tcPr>
          <w:p w14:paraId="717A5245">
            <w:pPr>
              <w:pStyle w:val="8"/>
              <w:spacing w:before="106" w:line="221" w:lineRule="auto"/>
              <w:ind w:left="104"/>
              <w:rPr>
                <w:rFonts w:hint="eastAsia" w:ascii="楷体" w:hAnsi="楷体" w:eastAsia="楷体" w:cs="楷体"/>
              </w:rPr>
            </w:pPr>
            <w:r>
              <w:rPr>
                <w:rFonts w:hint="eastAsia" w:ascii="楷体" w:hAnsi="楷体" w:eastAsia="楷体" w:cs="楷体"/>
                <w:spacing w:val="7"/>
              </w:rPr>
              <w:t>序号</w:t>
            </w:r>
          </w:p>
        </w:tc>
        <w:tc>
          <w:tcPr>
            <w:tcW w:w="1208" w:type="dxa"/>
            <w:noWrap w:val="0"/>
            <w:vAlign w:val="top"/>
          </w:tcPr>
          <w:p w14:paraId="0691C223">
            <w:pPr>
              <w:pStyle w:val="8"/>
              <w:spacing w:before="103" w:line="219" w:lineRule="auto"/>
              <w:ind w:left="111"/>
              <w:rPr>
                <w:rFonts w:hint="eastAsia" w:ascii="楷体" w:hAnsi="楷体" w:eastAsia="楷体" w:cs="楷体"/>
              </w:rPr>
            </w:pPr>
            <w:r>
              <w:rPr>
                <w:rFonts w:hint="eastAsia" w:ascii="楷体" w:hAnsi="楷体" w:eastAsia="楷体" w:cs="楷体"/>
                <w:spacing w:val="3"/>
              </w:rPr>
              <w:t>耗材名称</w:t>
            </w:r>
          </w:p>
        </w:tc>
        <w:tc>
          <w:tcPr>
            <w:tcW w:w="4574" w:type="dxa"/>
            <w:noWrap w:val="0"/>
            <w:vAlign w:val="top"/>
          </w:tcPr>
          <w:p w14:paraId="33D4579D">
            <w:pPr>
              <w:pStyle w:val="8"/>
              <w:spacing w:before="105" w:line="219" w:lineRule="auto"/>
              <w:ind w:left="2032"/>
              <w:rPr>
                <w:rFonts w:hint="eastAsia" w:ascii="楷体" w:hAnsi="楷体" w:eastAsia="楷体" w:cs="楷体"/>
              </w:rPr>
            </w:pPr>
            <w:r>
              <w:rPr>
                <w:rFonts w:hint="eastAsia" w:ascii="楷体" w:hAnsi="楷体" w:eastAsia="楷体" w:cs="楷体"/>
                <w:spacing w:val="1"/>
              </w:rPr>
              <w:t>规格型号要求</w:t>
            </w:r>
          </w:p>
        </w:tc>
        <w:tc>
          <w:tcPr>
            <w:tcW w:w="2383" w:type="dxa"/>
            <w:noWrap w:val="0"/>
            <w:vAlign w:val="top"/>
          </w:tcPr>
          <w:p w14:paraId="3B0AAACC">
            <w:pPr>
              <w:pStyle w:val="8"/>
              <w:spacing w:before="105" w:line="219" w:lineRule="auto"/>
              <w:ind w:left="88"/>
              <w:rPr>
                <w:rFonts w:hint="eastAsia" w:ascii="楷体" w:hAnsi="楷体" w:eastAsia="楷体" w:cs="楷体"/>
              </w:rPr>
            </w:pPr>
            <w:r>
              <w:rPr>
                <w:rFonts w:hint="eastAsia" w:ascii="楷体" w:hAnsi="楷体" w:eastAsia="楷体" w:cs="楷体"/>
                <w:spacing w:val="3"/>
              </w:rPr>
              <w:t>生产厂商</w:t>
            </w:r>
          </w:p>
        </w:tc>
      </w:tr>
      <w:tr w14:paraId="17600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714" w:type="dxa"/>
            <w:noWrap w:val="0"/>
            <w:vAlign w:val="top"/>
          </w:tcPr>
          <w:p w14:paraId="58876304">
            <w:pPr>
              <w:spacing w:line="272" w:lineRule="auto"/>
              <w:rPr>
                <w:rFonts w:hint="eastAsia" w:ascii="楷体" w:hAnsi="楷体" w:eastAsia="楷体" w:cs="楷体"/>
                <w:sz w:val="21"/>
              </w:rPr>
            </w:pPr>
          </w:p>
          <w:p w14:paraId="6EA3EF16">
            <w:pPr>
              <w:pStyle w:val="8"/>
              <w:spacing w:before="78" w:line="179" w:lineRule="auto"/>
              <w:ind w:left="285"/>
              <w:rPr>
                <w:rFonts w:hint="eastAsia" w:ascii="楷体" w:hAnsi="楷体" w:eastAsia="楷体" w:cs="楷体"/>
              </w:rPr>
            </w:pPr>
            <w:r>
              <w:rPr>
                <w:rFonts w:hint="eastAsia" w:ascii="楷体" w:hAnsi="楷体" w:eastAsia="楷体" w:cs="楷体"/>
              </w:rPr>
              <w:t>1</w:t>
            </w:r>
          </w:p>
        </w:tc>
        <w:tc>
          <w:tcPr>
            <w:tcW w:w="1208" w:type="dxa"/>
            <w:noWrap w:val="0"/>
            <w:vAlign w:val="top"/>
          </w:tcPr>
          <w:p w14:paraId="1900A5E5">
            <w:pPr>
              <w:spacing w:line="255" w:lineRule="auto"/>
              <w:rPr>
                <w:rFonts w:hint="eastAsia" w:ascii="楷体" w:hAnsi="楷体" w:eastAsia="楷体" w:cs="楷体"/>
                <w:sz w:val="21"/>
              </w:rPr>
            </w:pPr>
          </w:p>
          <w:p w14:paraId="76EF0D48">
            <w:pPr>
              <w:pStyle w:val="8"/>
              <w:spacing w:before="78" w:line="206" w:lineRule="auto"/>
              <w:ind w:left="101"/>
              <w:rPr>
                <w:rFonts w:hint="eastAsia" w:ascii="楷体" w:hAnsi="楷体" w:eastAsia="楷体" w:cs="楷体"/>
              </w:rPr>
            </w:pPr>
            <w:r>
              <w:rPr>
                <w:rFonts w:hint="eastAsia" w:ascii="楷体" w:hAnsi="楷体" w:eastAsia="楷体" w:cs="楷体"/>
                <w:spacing w:val="4"/>
              </w:rPr>
              <w:t>书标</w:t>
            </w:r>
          </w:p>
        </w:tc>
        <w:tc>
          <w:tcPr>
            <w:tcW w:w="4574" w:type="dxa"/>
            <w:noWrap w:val="0"/>
            <w:vAlign w:val="top"/>
          </w:tcPr>
          <w:p w14:paraId="5CCDF5B0">
            <w:pPr>
              <w:pStyle w:val="8"/>
              <w:spacing w:before="78" w:line="198" w:lineRule="auto"/>
              <w:rPr>
                <w:rFonts w:hint="eastAsia" w:ascii="楷体" w:hAnsi="楷体" w:eastAsia="楷体" w:cs="楷体"/>
              </w:rPr>
            </w:pPr>
            <w:r>
              <w:rPr>
                <w:rFonts w:hint="eastAsia" w:ascii="楷体" w:hAnsi="楷体" w:eastAsia="楷体" w:cs="楷体"/>
                <w:spacing w:val="1"/>
              </w:rPr>
              <w:t>铜板不干胶标签纸，根据采购人提供规格标</w:t>
            </w:r>
            <w:r>
              <w:rPr>
                <w:rFonts w:hint="eastAsia" w:ascii="楷体" w:hAnsi="楷体" w:eastAsia="楷体" w:cs="楷体"/>
              </w:rPr>
              <w:t>准定制</w:t>
            </w:r>
          </w:p>
        </w:tc>
        <w:tc>
          <w:tcPr>
            <w:tcW w:w="2383" w:type="dxa"/>
            <w:noWrap w:val="0"/>
            <w:vAlign w:val="top"/>
          </w:tcPr>
          <w:p w14:paraId="694C8C44">
            <w:pPr>
              <w:pStyle w:val="8"/>
              <w:spacing w:before="161" w:line="268" w:lineRule="auto"/>
              <w:ind w:left="88" w:right="153"/>
              <w:rPr>
                <w:rFonts w:hint="eastAsia" w:ascii="楷体" w:hAnsi="楷体" w:eastAsia="楷体" w:cs="楷体"/>
              </w:rPr>
            </w:pPr>
            <w:r>
              <w:rPr>
                <w:rFonts w:hint="eastAsia" w:ascii="楷体" w:hAnsi="楷体" w:eastAsia="楷体" w:cs="楷体"/>
                <w:spacing w:val="-2"/>
              </w:rPr>
              <w:t>根据采购人</w:t>
            </w:r>
            <w:r>
              <w:rPr>
                <w:rFonts w:hint="eastAsia" w:ascii="楷体" w:hAnsi="楷体" w:eastAsia="楷体" w:cs="楷体"/>
                <w:spacing w:val="5"/>
              </w:rPr>
              <w:t>要求</w:t>
            </w:r>
          </w:p>
        </w:tc>
      </w:tr>
      <w:tr w14:paraId="79784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714" w:type="dxa"/>
            <w:noWrap w:val="0"/>
            <w:vAlign w:val="top"/>
          </w:tcPr>
          <w:p w14:paraId="616B3186">
            <w:pPr>
              <w:spacing w:line="278" w:lineRule="auto"/>
              <w:rPr>
                <w:rFonts w:hint="eastAsia" w:ascii="楷体" w:hAnsi="楷体" w:eastAsia="楷体" w:cs="楷体"/>
                <w:sz w:val="21"/>
              </w:rPr>
            </w:pPr>
          </w:p>
          <w:p w14:paraId="7BDE878C">
            <w:pPr>
              <w:pStyle w:val="8"/>
              <w:spacing w:before="78" w:line="185" w:lineRule="auto"/>
              <w:ind w:left="285"/>
              <w:rPr>
                <w:rFonts w:hint="eastAsia" w:ascii="楷体" w:hAnsi="楷体" w:eastAsia="楷体" w:cs="楷体"/>
              </w:rPr>
            </w:pPr>
            <w:r>
              <w:rPr>
                <w:rFonts w:hint="eastAsia" w:ascii="楷体" w:hAnsi="楷体" w:eastAsia="楷体" w:cs="楷体"/>
              </w:rPr>
              <w:t>2</w:t>
            </w:r>
          </w:p>
        </w:tc>
        <w:tc>
          <w:tcPr>
            <w:tcW w:w="1208" w:type="dxa"/>
            <w:noWrap w:val="0"/>
            <w:vAlign w:val="top"/>
          </w:tcPr>
          <w:p w14:paraId="36CC5D54">
            <w:pPr>
              <w:spacing w:line="271" w:lineRule="auto"/>
              <w:rPr>
                <w:rFonts w:hint="eastAsia" w:ascii="楷体" w:hAnsi="楷体" w:eastAsia="楷体" w:cs="楷体"/>
                <w:sz w:val="21"/>
              </w:rPr>
            </w:pPr>
          </w:p>
          <w:p w14:paraId="377872F8">
            <w:pPr>
              <w:pStyle w:val="8"/>
              <w:spacing w:before="78" w:line="196" w:lineRule="auto"/>
              <w:ind w:left="101"/>
              <w:rPr>
                <w:rFonts w:hint="eastAsia" w:ascii="楷体" w:hAnsi="楷体" w:eastAsia="楷体" w:cs="楷体"/>
              </w:rPr>
            </w:pPr>
            <w:r>
              <w:rPr>
                <w:rFonts w:hint="eastAsia" w:ascii="楷体" w:hAnsi="楷体" w:eastAsia="楷体" w:cs="楷体"/>
                <w:spacing w:val="4"/>
              </w:rPr>
              <w:t>条形码</w:t>
            </w:r>
          </w:p>
        </w:tc>
        <w:tc>
          <w:tcPr>
            <w:tcW w:w="4574" w:type="dxa"/>
            <w:noWrap w:val="0"/>
            <w:vAlign w:val="top"/>
          </w:tcPr>
          <w:p w14:paraId="4616847B">
            <w:pPr>
              <w:pStyle w:val="8"/>
              <w:spacing w:before="78" w:line="197" w:lineRule="auto"/>
              <w:rPr>
                <w:rFonts w:hint="eastAsia" w:ascii="楷体" w:hAnsi="楷体" w:eastAsia="楷体" w:cs="楷体"/>
              </w:rPr>
            </w:pPr>
            <w:r>
              <w:rPr>
                <w:rFonts w:hint="eastAsia" w:ascii="楷体" w:hAnsi="楷体" w:eastAsia="楷体" w:cs="楷体"/>
                <w:spacing w:val="1"/>
              </w:rPr>
              <w:t>铜板不干胶条形码，根据采购人提供规格标</w:t>
            </w:r>
            <w:r>
              <w:rPr>
                <w:rFonts w:hint="eastAsia" w:ascii="楷体" w:hAnsi="楷体" w:eastAsia="楷体" w:cs="楷体"/>
              </w:rPr>
              <w:t>准定制</w:t>
            </w:r>
          </w:p>
        </w:tc>
        <w:tc>
          <w:tcPr>
            <w:tcW w:w="2383" w:type="dxa"/>
            <w:noWrap w:val="0"/>
            <w:vAlign w:val="top"/>
          </w:tcPr>
          <w:p w14:paraId="2DEB375C">
            <w:pPr>
              <w:pStyle w:val="8"/>
              <w:spacing w:before="170" w:line="272" w:lineRule="auto"/>
              <w:ind w:left="88" w:right="153"/>
              <w:rPr>
                <w:rFonts w:hint="eastAsia" w:ascii="楷体" w:hAnsi="楷体" w:eastAsia="楷体" w:cs="楷体"/>
              </w:rPr>
            </w:pPr>
            <w:r>
              <w:rPr>
                <w:rFonts w:hint="eastAsia" w:ascii="楷体" w:hAnsi="楷体" w:eastAsia="楷体" w:cs="楷体"/>
                <w:spacing w:val="-2"/>
              </w:rPr>
              <w:t>根据采购人</w:t>
            </w:r>
            <w:r>
              <w:rPr>
                <w:rFonts w:hint="eastAsia" w:ascii="楷体" w:hAnsi="楷体" w:eastAsia="楷体" w:cs="楷体"/>
                <w:spacing w:val="5"/>
              </w:rPr>
              <w:t>要求</w:t>
            </w:r>
          </w:p>
        </w:tc>
      </w:tr>
      <w:tr w14:paraId="0AB7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7" w:hRule="atLeast"/>
        </w:trPr>
        <w:tc>
          <w:tcPr>
            <w:tcW w:w="714" w:type="dxa"/>
            <w:noWrap w:val="0"/>
            <w:vAlign w:val="top"/>
          </w:tcPr>
          <w:p w14:paraId="5FB2F735">
            <w:pPr>
              <w:spacing w:line="274" w:lineRule="auto"/>
              <w:rPr>
                <w:rFonts w:hint="eastAsia" w:ascii="楷体" w:hAnsi="楷体" w:eastAsia="楷体" w:cs="楷体"/>
                <w:sz w:val="21"/>
              </w:rPr>
            </w:pPr>
          </w:p>
          <w:p w14:paraId="398A8420">
            <w:pPr>
              <w:pStyle w:val="8"/>
              <w:spacing w:before="78" w:line="175" w:lineRule="auto"/>
              <w:ind w:left="285"/>
              <w:rPr>
                <w:rFonts w:hint="eastAsia" w:ascii="楷体" w:hAnsi="楷体" w:eastAsia="楷体" w:cs="楷体"/>
              </w:rPr>
            </w:pPr>
            <w:r>
              <w:rPr>
                <w:rFonts w:hint="eastAsia" w:ascii="楷体" w:hAnsi="楷体" w:eastAsia="楷体" w:cs="楷体"/>
              </w:rPr>
              <w:t>3</w:t>
            </w:r>
          </w:p>
        </w:tc>
        <w:tc>
          <w:tcPr>
            <w:tcW w:w="1208" w:type="dxa"/>
            <w:noWrap w:val="0"/>
            <w:vAlign w:val="top"/>
          </w:tcPr>
          <w:p w14:paraId="567979F3">
            <w:pPr>
              <w:spacing w:line="262" w:lineRule="auto"/>
              <w:rPr>
                <w:rFonts w:hint="eastAsia" w:ascii="楷体" w:hAnsi="楷体" w:eastAsia="楷体" w:cs="楷体"/>
                <w:sz w:val="21"/>
              </w:rPr>
            </w:pPr>
          </w:p>
          <w:p w14:paraId="6C48E591">
            <w:pPr>
              <w:pStyle w:val="8"/>
              <w:spacing w:before="78" w:line="194" w:lineRule="auto"/>
              <w:ind w:left="101"/>
              <w:rPr>
                <w:rFonts w:hint="eastAsia" w:ascii="楷体" w:hAnsi="楷体" w:eastAsia="楷体" w:cs="楷体"/>
              </w:rPr>
            </w:pPr>
            <w:r>
              <w:rPr>
                <w:rFonts w:hint="eastAsia" w:ascii="楷体" w:hAnsi="楷体" w:eastAsia="楷体" w:cs="楷体"/>
                <w:spacing w:val="3"/>
              </w:rPr>
              <w:t>光盘袋</w:t>
            </w:r>
          </w:p>
        </w:tc>
        <w:tc>
          <w:tcPr>
            <w:tcW w:w="4574" w:type="dxa"/>
            <w:noWrap w:val="0"/>
            <w:vAlign w:val="top"/>
          </w:tcPr>
          <w:p w14:paraId="7DB0ED7D">
            <w:pPr>
              <w:spacing w:line="257" w:lineRule="auto"/>
              <w:rPr>
                <w:rFonts w:hint="eastAsia" w:ascii="楷体" w:hAnsi="楷体" w:eastAsia="楷体" w:cs="楷体"/>
                <w:sz w:val="21"/>
              </w:rPr>
            </w:pPr>
          </w:p>
          <w:p w14:paraId="75288567">
            <w:pPr>
              <w:pStyle w:val="8"/>
              <w:spacing w:before="78" w:line="202" w:lineRule="auto"/>
              <w:ind w:left="82"/>
              <w:rPr>
                <w:rFonts w:hint="eastAsia" w:ascii="楷体" w:hAnsi="楷体" w:eastAsia="楷体" w:cs="楷体"/>
              </w:rPr>
            </w:pPr>
            <w:r>
              <w:rPr>
                <w:rFonts w:hint="eastAsia" w:ascii="楷体" w:hAnsi="楷体" w:eastAsia="楷体" w:cs="楷体"/>
                <w:spacing w:val="1"/>
              </w:rPr>
              <w:t>根据采购人提供规格标准定制</w:t>
            </w:r>
          </w:p>
        </w:tc>
        <w:tc>
          <w:tcPr>
            <w:tcW w:w="2383" w:type="dxa"/>
            <w:noWrap w:val="0"/>
            <w:vAlign w:val="top"/>
          </w:tcPr>
          <w:p w14:paraId="4C86B912">
            <w:pPr>
              <w:pStyle w:val="8"/>
              <w:spacing w:before="162" w:line="267" w:lineRule="auto"/>
              <w:ind w:left="88" w:right="153"/>
              <w:rPr>
                <w:rFonts w:hint="eastAsia" w:ascii="楷体" w:hAnsi="楷体" w:eastAsia="楷体" w:cs="楷体"/>
              </w:rPr>
            </w:pPr>
            <w:r>
              <w:rPr>
                <w:rFonts w:hint="eastAsia" w:ascii="楷体" w:hAnsi="楷体" w:eastAsia="楷体" w:cs="楷体"/>
                <w:spacing w:val="-2"/>
              </w:rPr>
              <w:t>根据采购人</w:t>
            </w:r>
            <w:r>
              <w:rPr>
                <w:rFonts w:hint="eastAsia" w:ascii="楷体" w:hAnsi="楷体" w:eastAsia="楷体" w:cs="楷体"/>
                <w:spacing w:val="5"/>
              </w:rPr>
              <w:t>要求</w:t>
            </w:r>
          </w:p>
        </w:tc>
      </w:tr>
      <w:tr w14:paraId="48D4E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trPr>
        <w:tc>
          <w:tcPr>
            <w:tcW w:w="714" w:type="dxa"/>
            <w:noWrap w:val="0"/>
            <w:vAlign w:val="top"/>
          </w:tcPr>
          <w:p w14:paraId="2E9F6A5E">
            <w:pPr>
              <w:spacing w:line="281" w:lineRule="auto"/>
              <w:rPr>
                <w:rFonts w:hint="eastAsia" w:ascii="楷体" w:hAnsi="楷体" w:eastAsia="楷体" w:cs="楷体"/>
                <w:sz w:val="21"/>
              </w:rPr>
            </w:pPr>
          </w:p>
          <w:p w14:paraId="3A307FED">
            <w:pPr>
              <w:pStyle w:val="8"/>
              <w:spacing w:before="78" w:line="185" w:lineRule="auto"/>
              <w:ind w:left="285"/>
              <w:rPr>
                <w:rFonts w:hint="eastAsia" w:ascii="楷体" w:hAnsi="楷体" w:eastAsia="楷体" w:cs="楷体"/>
              </w:rPr>
            </w:pPr>
            <w:r>
              <w:rPr>
                <w:rFonts w:hint="eastAsia" w:ascii="楷体" w:hAnsi="楷体" w:eastAsia="楷体" w:cs="楷体"/>
              </w:rPr>
              <w:t>4</w:t>
            </w:r>
          </w:p>
        </w:tc>
        <w:tc>
          <w:tcPr>
            <w:tcW w:w="1208" w:type="dxa"/>
            <w:noWrap w:val="0"/>
            <w:vAlign w:val="top"/>
          </w:tcPr>
          <w:p w14:paraId="6A901FF4">
            <w:pPr>
              <w:spacing w:line="268" w:lineRule="auto"/>
              <w:rPr>
                <w:rFonts w:hint="eastAsia" w:ascii="楷体" w:hAnsi="楷体" w:eastAsia="楷体" w:cs="楷体"/>
                <w:sz w:val="21"/>
              </w:rPr>
            </w:pPr>
          </w:p>
          <w:p w14:paraId="6B196C09">
            <w:pPr>
              <w:pStyle w:val="8"/>
              <w:spacing w:before="78" w:line="204" w:lineRule="auto"/>
              <w:ind w:left="101"/>
              <w:rPr>
                <w:rFonts w:hint="eastAsia" w:ascii="楷体" w:hAnsi="楷体" w:eastAsia="楷体" w:cs="楷体"/>
              </w:rPr>
            </w:pPr>
            <w:r>
              <w:rPr>
                <w:rFonts w:hint="eastAsia" w:ascii="楷体" w:hAnsi="楷体" w:eastAsia="楷体" w:cs="楷体"/>
                <w:spacing w:val="-3"/>
              </w:rPr>
              <w:t>磁条</w:t>
            </w:r>
          </w:p>
        </w:tc>
        <w:tc>
          <w:tcPr>
            <w:tcW w:w="4574" w:type="dxa"/>
            <w:noWrap w:val="0"/>
            <w:vAlign w:val="top"/>
          </w:tcPr>
          <w:p w14:paraId="2070340E">
            <w:pPr>
              <w:spacing w:line="268" w:lineRule="auto"/>
              <w:rPr>
                <w:rFonts w:hint="eastAsia" w:ascii="楷体" w:hAnsi="楷体" w:eastAsia="楷体" w:cs="楷体"/>
                <w:sz w:val="21"/>
              </w:rPr>
            </w:pPr>
          </w:p>
          <w:p w14:paraId="7FCDA669">
            <w:pPr>
              <w:pStyle w:val="8"/>
              <w:spacing w:before="78" w:line="204" w:lineRule="auto"/>
              <w:ind w:left="82"/>
              <w:rPr>
                <w:rFonts w:hint="eastAsia" w:ascii="楷体" w:hAnsi="楷体" w:eastAsia="楷体" w:cs="楷体"/>
              </w:rPr>
            </w:pPr>
            <w:r>
              <w:rPr>
                <w:rFonts w:hint="eastAsia" w:ascii="楷体" w:hAnsi="楷体" w:eastAsia="楷体" w:cs="楷体"/>
                <w:spacing w:val="-2"/>
              </w:rPr>
              <w:t>钴基永久磁条</w:t>
            </w:r>
          </w:p>
        </w:tc>
        <w:tc>
          <w:tcPr>
            <w:tcW w:w="2383" w:type="dxa"/>
            <w:noWrap w:val="0"/>
            <w:vAlign w:val="top"/>
          </w:tcPr>
          <w:p w14:paraId="4EF46D05">
            <w:pPr>
              <w:pStyle w:val="8"/>
              <w:spacing w:before="167" w:line="275" w:lineRule="auto"/>
              <w:ind w:left="88" w:right="153"/>
              <w:rPr>
                <w:rFonts w:hint="eastAsia" w:ascii="楷体" w:hAnsi="楷体" w:eastAsia="楷体" w:cs="楷体"/>
              </w:rPr>
            </w:pPr>
            <w:r>
              <w:rPr>
                <w:rFonts w:hint="eastAsia" w:ascii="楷体" w:hAnsi="楷体" w:eastAsia="楷体" w:cs="楷体"/>
                <w:spacing w:val="-2"/>
              </w:rPr>
              <w:t>根据采购人</w:t>
            </w:r>
            <w:r>
              <w:rPr>
                <w:rFonts w:hint="eastAsia" w:ascii="楷体" w:hAnsi="楷体" w:eastAsia="楷体" w:cs="楷体"/>
                <w:spacing w:val="5"/>
              </w:rPr>
              <w:t>要求</w:t>
            </w:r>
          </w:p>
        </w:tc>
      </w:tr>
    </w:tbl>
    <w:p w14:paraId="588C8D2E">
      <w:pPr>
        <w:widowControl/>
        <w:spacing w:line="520" w:lineRule="exact"/>
        <w:jc w:val="left"/>
        <w:rPr>
          <w:rFonts w:hint="eastAsia" w:ascii="楷体" w:hAnsi="楷体" w:eastAsia="楷体" w:cs="楷体"/>
          <w:b/>
          <w:szCs w:val="24"/>
        </w:rPr>
      </w:pPr>
      <w:r>
        <w:rPr>
          <w:rFonts w:hint="eastAsia" w:ascii="楷体" w:hAnsi="楷体" w:eastAsia="楷体" w:cs="楷体"/>
          <w:b/>
          <w:szCs w:val="24"/>
        </w:rPr>
        <w:t>八 、争议解决</w:t>
      </w:r>
    </w:p>
    <w:p w14:paraId="259E9AA6">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 双方合同签订后，可办理付款。甲方付款前，乙方应先提供经甲方财务部门认可的等额合法正式发票，否则甲方有权拒绝付款，由此产生的一切后果概由乙方承担；甲方收到发票并确认乙方无任何违约行为后，三个月内付款；若乙方开具的发票被税务机关认定为假票或无法抵扣的，乙方除应重新开具合法发票外还应向甲方支付假票或无法抵扣票面金额两倍的违约金。</w:t>
      </w:r>
    </w:p>
    <w:p w14:paraId="1B7E2E6B">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2.当甲方对期刊价格有疑问时，乙方应提供有关资料供甲方查阅。当期刊价格不合理的情况下，甲方可拒收或退货。</w:t>
      </w:r>
    </w:p>
    <w:p w14:paraId="1523CC59">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3.甲方按照最终实际确认的订单和经验收合格并予以接收的到货期 刊数量及本合同约定折扣与乙方结算合同最终费用，乙方多收取的费用 应在本合同有效期届满前向甲方全部退还。</w:t>
      </w:r>
    </w:p>
    <w:p w14:paraId="7BD7005D">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4.对于因期刊停刊，或因甲方退订等原因产生的退款，经甲方对期刊 和期刊数据验收无误，联系乙方办妥差、错、退、换手续后，以甲方采购人员最后验收的金额为基数，乙方于合同有效期届满前向甲方完成退款操作。</w:t>
      </w:r>
    </w:p>
    <w:p w14:paraId="36230495">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5.因出版社统计时效原因，个别期刊刊价信息未能及时更新，若导致订单总价格与实际价格出现差异时，差异部分在停退刊款项中予以结算。</w:t>
      </w:r>
    </w:p>
    <w:p w14:paraId="53063BC7">
      <w:pPr>
        <w:widowControl/>
        <w:spacing w:line="520" w:lineRule="exact"/>
        <w:jc w:val="left"/>
        <w:rPr>
          <w:rFonts w:hint="eastAsia" w:ascii="楷体" w:hAnsi="楷体" w:eastAsia="楷体" w:cs="楷体"/>
          <w:b/>
          <w:szCs w:val="24"/>
        </w:rPr>
      </w:pPr>
      <w:r>
        <w:rPr>
          <w:rFonts w:hint="eastAsia" w:ascii="楷体" w:hAnsi="楷体" w:eastAsia="楷体" w:cs="楷体"/>
          <w:b/>
          <w:szCs w:val="24"/>
        </w:rPr>
        <w:t>九、合同签订及违约责任</w:t>
      </w:r>
    </w:p>
    <w:p w14:paraId="0ACCD86C">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1.乙方将签字盖章后的合同送达甲方；本合同签订当日，乙方需向甲方交付履约保证金</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万元汇至甲方账户。若乙方逾期未寄达或未交纳履约保证金，按乙方自动放弃中标处理，甲方有权采取后位替补方式与其他供货商签订合同。合同期满时，如乙方无任何违约问题，履约保证金全额 无息退还乙方；如乙方存在有违约问题，在履约保证金中扣除相关违约金、赔偿费，不足部分由乙方继续补足。</w:t>
      </w:r>
    </w:p>
    <w:p w14:paraId="18DA9900">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2.乙方不得将非法出版物销售给甲方。否则， 一经查实，乙方除承担相应的社会、法律责任外，还须向甲方支付相当于盗版期刊和非法出版物总码洋10倍的违约金，同时，甲方有权解除本合同，并拒绝乙方3年内参与甲方所有相关项目投标。</w:t>
      </w:r>
    </w:p>
    <w:p w14:paraId="66F2D671">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3.所有期刊的品种及复本数量均由甲方决定，乙方不得自行搭配和追加非甲方确认购买的品种和复本。若发现此种情况，无论是否已作前期加工，乙方必须无条件负责退货，因此发生的一切费用(如运输、人力、物 品损耗等)概由乙方承担。如果乙方累计出现2批次此种现象，甲方有权解除合同，乙方立即向甲方返还尚未履行的合同价款，并向甲方支付相当 于合同约定总价10%的违约金。</w:t>
      </w:r>
    </w:p>
    <w:p w14:paraId="2E21ACA6">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highlight w:val="none"/>
        </w:rPr>
        <w:t>4.若乙方送货少于</w:t>
      </w:r>
      <w:r>
        <w:rPr>
          <w:rFonts w:hint="eastAsia" w:ascii="楷体" w:hAnsi="楷体" w:eastAsia="楷体" w:cs="楷体"/>
          <w:bCs/>
          <w:szCs w:val="24"/>
          <w:highlight w:val="none"/>
          <w:lang w:val="en-US" w:eastAsia="zh-CN"/>
        </w:rPr>
        <w:t>6</w:t>
      </w:r>
      <w:r>
        <w:rPr>
          <w:rFonts w:hint="eastAsia" w:ascii="楷体" w:hAnsi="楷体" w:eastAsia="楷体" w:cs="楷体"/>
          <w:bCs/>
          <w:szCs w:val="24"/>
          <w:highlight w:val="none"/>
        </w:rPr>
        <w:t>次/周或</w:t>
      </w:r>
      <w:r>
        <w:rPr>
          <w:rFonts w:hint="eastAsia" w:ascii="楷体" w:hAnsi="楷体" w:eastAsia="楷体" w:cs="楷体"/>
          <w:bCs/>
          <w:szCs w:val="24"/>
        </w:rPr>
        <w:t>查询回应超过24小时或者乙方存在其他违约行为，乙方每出现1次，应向甲方支付违约金500元；本条所述乙方违约情形累计超过3次的，甲方有权解除合同，乙方须向甲方支付相当于合同约定总价10%的违约金。若乙方在合同期内，逾期未补齐所缺期刊，除按照所缺期刊每期原价赔偿甲方损失、免费提供期刊复印件一份之外，还应按如下标准向甲方支付违约金：3期/年以上(含3期)刊物每缺一期按该刊年定价的50%向甲方支付违约金；2期/年刊物每缺一期按该刊年定价的100%向甲方支付违约金；1期/年刊物每缺一期按该刊年定价的2倍向甲方支付违约金。</w:t>
      </w:r>
    </w:p>
    <w:p w14:paraId="31349BB0">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5.乙方应向甲方支付的违约金、损失赔偿款等，甲方可直接从应向乙方支付的结算款中扣除，不足部分乙方须在本协议有效期届满前向甲方支付。</w:t>
      </w:r>
    </w:p>
    <w:p w14:paraId="026EAA8B">
      <w:pPr>
        <w:widowControl/>
        <w:spacing w:line="520" w:lineRule="exact"/>
        <w:jc w:val="left"/>
        <w:rPr>
          <w:rFonts w:hint="eastAsia" w:ascii="楷体" w:hAnsi="楷体" w:eastAsia="楷体" w:cs="楷体"/>
          <w:b/>
          <w:szCs w:val="24"/>
        </w:rPr>
      </w:pPr>
      <w:r>
        <w:rPr>
          <w:rFonts w:hint="eastAsia" w:ascii="楷体" w:hAnsi="楷体" w:eastAsia="楷体" w:cs="楷体"/>
          <w:b/>
          <w:szCs w:val="24"/>
        </w:rPr>
        <w:t>十、合同的履行、变更与生效</w:t>
      </w:r>
    </w:p>
    <w:p w14:paraId="58B7390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1.合同有效期</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，自</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年</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月</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日起至</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年</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月</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rPr>
        <w:t>日止(因期刊征订发行的特殊性以及部分季刊、半年刊、年刊到货较晚)。</w:t>
      </w:r>
    </w:p>
    <w:p w14:paraId="0A96111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2.政府采购监管机关在合同履行期间以及履行期后，可以对合同的执行情况进行随机检查，对采购标准、采购内容进行核查，对违反合同约定 内容的问题，将依法进行查处。</w:t>
      </w:r>
    </w:p>
    <w:p w14:paraId="57D65FB5">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3.招标采购文件、投标/响应文件及澄清承诺文书、合同附件、补充协议为本合同不可分割的部分，具有同等法律效力。</w:t>
      </w:r>
    </w:p>
    <w:p w14:paraId="072BA327">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4.合同未尽事宜，由甲、乙双方共同协商，作为本合同的补充文件与本合同具有同等法律效力，如协商不成，双方均有权向甲方所在地人民法院起诉。</w:t>
      </w:r>
    </w:p>
    <w:p w14:paraId="1832ADD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5.本合同一式6份，甲方执3份，乙方执3份。合同自双方签字盖章且乙方向甲方支付履约保证金后生效，每份具有同等法律效力。</w:t>
      </w:r>
    </w:p>
    <w:p w14:paraId="4615E810">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6.本合同在执行过程中，确需对合同内容进行变更或者修改时，应当按照相应的审核批准程序办理。</w:t>
      </w:r>
    </w:p>
    <w:p w14:paraId="494C55D1">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楷体" w:hAnsi="楷体" w:eastAsia="楷体" w:cs="楷体"/>
          <w:bCs/>
          <w:szCs w:val="24"/>
        </w:rPr>
      </w:pPr>
      <w:r>
        <w:rPr>
          <w:rFonts w:hint="eastAsia" w:ascii="楷体" w:hAnsi="楷体" w:eastAsia="楷体" w:cs="楷体"/>
          <w:bCs/>
          <w:szCs w:val="24"/>
        </w:rPr>
        <w:t>7.凡因履行本合同所发生的或与本合同有关的一切争议，甲、乙双方应先通过友好协商解决；如协商不成，双方均有权向甲方所在地人民法院起诉。</w:t>
      </w:r>
    </w:p>
    <w:p w14:paraId="609511E6">
      <w:pPr>
        <w:widowControl/>
        <w:spacing w:line="520" w:lineRule="exact"/>
        <w:jc w:val="left"/>
        <w:rPr>
          <w:rFonts w:hint="eastAsia" w:ascii="楷体" w:hAnsi="楷体" w:eastAsia="楷体" w:cs="楷体"/>
          <w:b/>
          <w:szCs w:val="24"/>
        </w:rPr>
      </w:pPr>
      <w:r>
        <w:rPr>
          <w:rFonts w:hint="eastAsia" w:ascii="楷体" w:hAnsi="楷体" w:eastAsia="楷体" w:cs="楷体"/>
          <w:b/>
          <w:szCs w:val="24"/>
        </w:rPr>
        <w:t>十一、甲乙双方若有其他约定事项的，须以合同附件的形式进行约定，并按规定签字盖章。</w:t>
      </w:r>
    </w:p>
    <w:p w14:paraId="39F472CA">
      <w:pPr>
        <w:widowControl/>
        <w:spacing w:line="520" w:lineRule="exact"/>
        <w:jc w:val="left"/>
        <w:rPr>
          <w:rFonts w:hint="eastAsia" w:ascii="楷体" w:hAnsi="楷体" w:eastAsia="楷体" w:cs="楷体"/>
          <w:b/>
          <w:szCs w:val="24"/>
          <w:lang w:val="en-US" w:eastAsia="zh-CN"/>
        </w:rPr>
      </w:pPr>
      <w:r>
        <w:rPr>
          <w:rFonts w:hint="eastAsia" w:ascii="楷体" w:hAnsi="楷体" w:eastAsia="楷体" w:cs="楷体"/>
          <w:b/>
          <w:szCs w:val="24"/>
          <w:lang w:val="en-US" w:eastAsia="zh-CN"/>
        </w:rPr>
        <w:t>十二、甲方按下列信息通过短信、微信、电话、邮寄、电子邮件等方 式与乙方联系，向乙方送达相关通知：</w:t>
      </w:r>
    </w:p>
    <w:p w14:paraId="53CC2F1B">
      <w:pPr>
        <w:widowControl/>
        <w:spacing w:line="520" w:lineRule="exact"/>
        <w:ind w:firstLine="480" w:firstLineChars="200"/>
        <w:jc w:val="left"/>
        <w:rPr>
          <w:rFonts w:hint="default" w:ascii="楷体" w:hAnsi="楷体" w:eastAsia="楷体" w:cs="楷体"/>
          <w:bCs/>
          <w:szCs w:val="24"/>
          <w:lang w:val="en-US" w:eastAsia="zh-CN"/>
        </w:rPr>
      </w:pPr>
      <w:r>
        <w:rPr>
          <w:rFonts w:hint="eastAsia" w:ascii="楷体" w:hAnsi="楷体" w:eastAsia="楷体" w:cs="楷体"/>
          <w:bCs/>
          <w:szCs w:val="24"/>
          <w:lang w:val="en-US" w:eastAsia="zh-CN"/>
        </w:rPr>
        <w:t>联系地址：</w:t>
      </w:r>
      <w:r>
        <w:rPr>
          <w:rFonts w:hint="eastAsia" w:ascii="楷体" w:hAnsi="楷体" w:eastAsia="楷体" w:cs="楷体"/>
          <w:bCs/>
          <w:szCs w:val="24"/>
          <w:u w:val="single"/>
          <w:lang w:val="en-US" w:eastAsia="zh-CN"/>
        </w:rPr>
        <w:t xml:space="preserve">                                 </w:t>
      </w:r>
      <w:r>
        <w:rPr>
          <w:rFonts w:hint="eastAsia" w:ascii="楷体" w:hAnsi="楷体" w:eastAsia="楷体" w:cs="楷体"/>
          <w:bCs/>
          <w:szCs w:val="24"/>
          <w:lang w:val="en-US" w:eastAsia="zh-CN"/>
        </w:rPr>
        <w:t xml:space="preserve">  </w:t>
      </w:r>
    </w:p>
    <w:p w14:paraId="602B477D">
      <w:pPr>
        <w:widowControl/>
        <w:spacing w:line="520" w:lineRule="exact"/>
        <w:ind w:firstLine="480" w:firstLineChars="200"/>
        <w:jc w:val="left"/>
        <w:rPr>
          <w:rFonts w:hint="default" w:ascii="楷体" w:hAnsi="楷体" w:eastAsia="楷体" w:cs="楷体"/>
          <w:bCs/>
          <w:szCs w:val="24"/>
          <w:lang w:val="en-US" w:eastAsia="zh-CN"/>
        </w:rPr>
      </w:pPr>
      <w:r>
        <w:rPr>
          <w:rFonts w:hint="eastAsia" w:ascii="楷体" w:hAnsi="楷体" w:eastAsia="楷体" w:cs="楷体"/>
          <w:bCs/>
          <w:szCs w:val="24"/>
          <w:lang w:val="en-US" w:eastAsia="zh-CN"/>
        </w:rPr>
        <w:t>联系人：</w:t>
      </w:r>
      <w:r>
        <w:rPr>
          <w:rFonts w:hint="eastAsia" w:ascii="楷体" w:hAnsi="楷体" w:eastAsia="楷体" w:cs="楷体"/>
          <w:bCs/>
          <w:szCs w:val="24"/>
          <w:u w:val="single"/>
          <w:lang w:val="en-US" w:eastAsia="zh-CN"/>
        </w:rPr>
        <w:t xml:space="preserve">                                   </w:t>
      </w:r>
    </w:p>
    <w:p w14:paraId="038AAE7C">
      <w:pPr>
        <w:widowControl/>
        <w:spacing w:line="520" w:lineRule="exact"/>
        <w:ind w:firstLine="480" w:firstLineChars="200"/>
        <w:jc w:val="left"/>
        <w:rPr>
          <w:rFonts w:hint="default" w:ascii="楷体" w:hAnsi="楷体" w:eastAsia="楷体" w:cs="楷体"/>
          <w:bCs/>
          <w:szCs w:val="24"/>
          <w:lang w:val="en-US" w:eastAsia="zh-CN"/>
        </w:rPr>
      </w:pPr>
      <w:r>
        <w:rPr>
          <w:rFonts w:hint="eastAsia" w:ascii="楷体" w:hAnsi="楷体" w:eastAsia="楷体" w:cs="楷体"/>
          <w:bCs/>
          <w:szCs w:val="24"/>
          <w:lang w:val="en-US" w:eastAsia="zh-CN"/>
        </w:rPr>
        <w:t>联系电话：</w:t>
      </w:r>
      <w:r>
        <w:rPr>
          <w:rFonts w:hint="eastAsia" w:ascii="楷体" w:hAnsi="楷体" w:eastAsia="楷体" w:cs="楷体"/>
          <w:bCs/>
          <w:szCs w:val="24"/>
          <w:u w:val="single"/>
          <w:lang w:val="en-US" w:eastAsia="zh-CN"/>
        </w:rPr>
        <w:t xml:space="preserve">                                 </w:t>
      </w:r>
    </w:p>
    <w:p w14:paraId="47FDD6AF">
      <w:pPr>
        <w:widowControl/>
        <w:spacing w:line="520" w:lineRule="exact"/>
        <w:ind w:firstLine="480" w:firstLineChars="200"/>
        <w:jc w:val="left"/>
        <w:rPr>
          <w:rFonts w:hint="eastAsia" w:ascii="楷体" w:hAnsi="楷体" w:eastAsia="楷体" w:cs="楷体"/>
          <w:bCs/>
          <w:szCs w:val="24"/>
          <w:u w:val="single"/>
          <w:lang w:val="en-US" w:eastAsia="zh-CN"/>
        </w:rPr>
      </w:pPr>
      <w:r>
        <w:rPr>
          <w:rFonts w:hint="eastAsia" w:ascii="楷体" w:hAnsi="楷体" w:eastAsia="楷体" w:cs="楷体"/>
          <w:bCs/>
          <w:szCs w:val="24"/>
          <w:lang w:val="en-US" w:eastAsia="zh-CN"/>
        </w:rPr>
        <w:t>电子邮箱：</w:t>
      </w:r>
      <w:r>
        <w:rPr>
          <w:rFonts w:hint="eastAsia" w:ascii="楷体" w:hAnsi="楷体" w:eastAsia="楷体" w:cs="楷体"/>
          <w:bCs/>
          <w:szCs w:val="24"/>
          <w:u w:val="single"/>
          <w:lang w:val="en-US" w:eastAsia="zh-CN"/>
        </w:rPr>
        <w:t xml:space="preserve">                                 </w:t>
      </w:r>
    </w:p>
    <w:p w14:paraId="78FCA793">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default" w:ascii="楷体" w:hAnsi="楷体" w:eastAsia="楷体" w:cs="楷体"/>
          <w:bCs/>
          <w:szCs w:val="24"/>
          <w:lang w:val="en-US" w:eastAsia="zh-CN"/>
        </w:rPr>
      </w:pPr>
      <w:r>
        <w:rPr>
          <w:rFonts w:hint="default" w:ascii="楷体" w:hAnsi="楷体" w:eastAsia="楷体" w:cs="楷体"/>
          <w:bCs/>
          <w:szCs w:val="24"/>
          <w:lang w:val="en-US" w:eastAsia="zh-CN"/>
        </w:rPr>
        <w:t>乙方上述信息如有变更，应在变更后2日内书面通知甲方，若未及时通知，按原联系方式通知视为有效送达，包括但不限于送达解除通知、联系单及人民法院送达起诉状、应诉通知书、举证责任通知书、开庭传票、 判决书等法律文书。</w:t>
      </w:r>
    </w:p>
    <w:p w14:paraId="3B017A45">
      <w:pPr>
        <w:widowControl/>
        <w:spacing w:line="520" w:lineRule="exact"/>
        <w:ind w:firstLine="482" w:firstLineChars="200"/>
        <w:jc w:val="left"/>
        <w:rPr>
          <w:rFonts w:hint="eastAsia" w:ascii="楷体" w:hAnsi="楷体" w:eastAsia="楷体" w:cs="楷体"/>
          <w:b/>
          <w:szCs w:val="24"/>
          <w:lang w:val="en-US" w:eastAsia="zh-CN"/>
        </w:rPr>
      </w:pPr>
      <w:r>
        <w:rPr>
          <w:rFonts w:hint="eastAsia" w:ascii="楷体" w:hAnsi="楷体" w:eastAsia="楷体" w:cs="楷体"/>
          <w:b/>
          <w:szCs w:val="24"/>
          <w:lang w:val="en-US" w:eastAsia="zh-CN"/>
        </w:rPr>
        <w:t>(以下无正文)</w:t>
      </w:r>
    </w:p>
    <w:p w14:paraId="5AB61736">
      <w:pPr>
        <w:pStyle w:val="2"/>
        <w:rPr>
          <w:rFonts w:hint="eastAsia" w:ascii="楷体" w:hAnsi="楷体" w:eastAsia="楷体" w:cs="楷体"/>
          <w:bCs/>
          <w:szCs w:val="24"/>
        </w:rPr>
      </w:pPr>
    </w:p>
    <w:p w14:paraId="72D25692">
      <w:pPr>
        <w:rPr>
          <w:rFonts w:hint="eastAsia" w:ascii="楷体" w:hAnsi="楷体" w:eastAsia="楷体" w:cs="楷体"/>
          <w:bCs/>
          <w:szCs w:val="24"/>
        </w:rPr>
      </w:pPr>
    </w:p>
    <w:p w14:paraId="321670AA">
      <w:pPr>
        <w:pStyle w:val="2"/>
        <w:rPr>
          <w:rFonts w:hint="eastAsia" w:ascii="楷体" w:hAnsi="楷体" w:eastAsia="楷体" w:cs="楷体"/>
          <w:bCs/>
          <w:szCs w:val="24"/>
        </w:rPr>
      </w:pPr>
    </w:p>
    <w:p w14:paraId="18740B10">
      <w:pPr>
        <w:rPr>
          <w:rFonts w:hint="eastAsia"/>
        </w:rPr>
      </w:pPr>
    </w:p>
    <w:p w14:paraId="4C04887B">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采购人(甲方)：</w:t>
      </w:r>
      <w:r>
        <w:rPr>
          <w:rFonts w:hint="eastAsia" w:ascii="楷体" w:hAnsi="楷体" w:eastAsia="楷体" w:cs="楷体"/>
          <w:bCs/>
          <w:szCs w:val="24"/>
          <w:lang w:val="en-US" w:eastAsia="zh-CN"/>
        </w:rPr>
        <w:t xml:space="preserve">      </w:t>
      </w:r>
      <w:r>
        <w:rPr>
          <w:rFonts w:hint="eastAsia" w:ascii="楷体" w:hAnsi="楷体" w:eastAsia="楷体" w:cs="楷体"/>
          <w:bCs/>
          <w:szCs w:val="24"/>
        </w:rPr>
        <w:t>供应商(乙方)：</w:t>
      </w:r>
    </w:p>
    <w:p w14:paraId="68FAD9D4">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法定代表人</w:t>
      </w:r>
      <w:r>
        <w:rPr>
          <w:rFonts w:hint="eastAsia" w:ascii="楷体" w:hAnsi="楷体" w:eastAsia="楷体" w:cs="楷体"/>
          <w:bCs/>
          <w:szCs w:val="24"/>
        </w:rPr>
        <w:fldChar w:fldCharType="end"/>
      </w:r>
      <w:r>
        <w:rPr>
          <w:rFonts w:hint="eastAsia" w:ascii="楷体" w:hAnsi="楷体" w:eastAsia="楷体" w:cs="楷体"/>
          <w:bCs/>
          <w:szCs w:val="24"/>
        </w:rPr>
        <w:t>：</w:t>
      </w:r>
      <w:r>
        <w:rPr>
          <w:rFonts w:hint="eastAsia" w:ascii="楷体" w:hAnsi="楷体" w:eastAsia="楷体" w:cs="楷体"/>
          <w:bCs/>
          <w:szCs w:val="24"/>
          <w:lang w:val="en-US" w:eastAsia="zh-CN"/>
        </w:rPr>
        <w:t xml:space="preserve">      </w:t>
      </w: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法定代表人</w:t>
      </w:r>
      <w:r>
        <w:rPr>
          <w:rFonts w:hint="eastAsia" w:ascii="楷体" w:hAnsi="楷体" w:eastAsia="楷体" w:cs="楷体"/>
          <w:bCs/>
          <w:szCs w:val="24"/>
        </w:rPr>
        <w:fldChar w:fldCharType="end"/>
      </w:r>
      <w:r>
        <w:rPr>
          <w:rFonts w:hint="eastAsia" w:ascii="楷体" w:hAnsi="楷体" w:eastAsia="楷体" w:cs="楷体"/>
          <w:bCs/>
          <w:szCs w:val="24"/>
        </w:rPr>
        <w:t>：</w:t>
      </w:r>
    </w:p>
    <w:p w14:paraId="4A169DCE">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委托代理人</w:t>
      </w:r>
      <w:r>
        <w:rPr>
          <w:rFonts w:hint="eastAsia" w:ascii="楷体" w:hAnsi="楷体" w:eastAsia="楷体" w:cs="楷体"/>
          <w:bCs/>
          <w:szCs w:val="24"/>
        </w:rPr>
        <w:fldChar w:fldCharType="end"/>
      </w:r>
      <w:r>
        <w:rPr>
          <w:rFonts w:hint="eastAsia" w:ascii="楷体" w:hAnsi="楷体" w:eastAsia="楷体" w:cs="楷体"/>
          <w:bCs/>
          <w:szCs w:val="24"/>
        </w:rPr>
        <w:t>：</w:t>
      </w:r>
      <w:r>
        <w:rPr>
          <w:rFonts w:hint="eastAsia" w:ascii="楷体" w:hAnsi="楷体" w:eastAsia="楷体" w:cs="楷体"/>
          <w:bCs/>
          <w:szCs w:val="24"/>
          <w:lang w:val="en-US" w:eastAsia="zh-CN"/>
        </w:rPr>
        <w:t xml:space="preserve">      </w:t>
      </w: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委托代理人</w:t>
      </w:r>
      <w:r>
        <w:rPr>
          <w:rFonts w:hint="eastAsia" w:ascii="楷体" w:hAnsi="楷体" w:eastAsia="楷体" w:cs="楷体"/>
          <w:bCs/>
          <w:szCs w:val="24"/>
        </w:rPr>
        <w:fldChar w:fldCharType="end"/>
      </w:r>
      <w:r>
        <w:rPr>
          <w:rFonts w:hint="eastAsia" w:ascii="楷体" w:hAnsi="楷体" w:eastAsia="楷体" w:cs="楷体"/>
          <w:bCs/>
          <w:szCs w:val="24"/>
        </w:rPr>
        <w:t>：</w:t>
      </w:r>
    </w:p>
    <w:p w14:paraId="1533FAA7">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开户银行</w:t>
      </w:r>
      <w:r>
        <w:rPr>
          <w:rFonts w:hint="eastAsia" w:ascii="楷体" w:hAnsi="楷体" w:eastAsia="楷体" w:cs="楷体"/>
          <w:bCs/>
          <w:szCs w:val="24"/>
        </w:rPr>
        <w:fldChar w:fldCharType="end"/>
      </w:r>
      <w:r>
        <w:rPr>
          <w:rFonts w:hint="eastAsia" w:ascii="楷体" w:hAnsi="楷体" w:eastAsia="楷体" w:cs="楷体"/>
          <w:bCs/>
          <w:szCs w:val="24"/>
        </w:rPr>
        <w:t>：</w:t>
      </w:r>
      <w:r>
        <w:rPr>
          <w:rFonts w:hint="eastAsia" w:ascii="楷体" w:hAnsi="楷体" w:eastAsia="楷体" w:cs="楷体"/>
          <w:bCs/>
          <w:szCs w:val="24"/>
          <w:lang w:val="en-US" w:eastAsia="zh-CN"/>
        </w:rPr>
        <w:t xml:space="preserve">      </w:t>
      </w:r>
      <w:r>
        <w:rPr>
          <w:rFonts w:hint="eastAsia" w:ascii="楷体" w:hAnsi="楷体" w:eastAsia="楷体" w:cs="楷体"/>
          <w:bCs/>
          <w:szCs w:val="24"/>
        </w:rPr>
        <w:fldChar w:fldCharType="begin"/>
      </w:r>
      <w:r>
        <w:rPr>
          <w:rFonts w:hint="eastAsia" w:ascii="楷体" w:hAnsi="楷体" w:eastAsia="楷体" w:cs="楷体"/>
          <w:bCs/>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楷体" w:hAnsi="楷体" w:eastAsia="楷体" w:cs="楷体"/>
          <w:bCs/>
          <w:szCs w:val="24"/>
        </w:rPr>
        <w:fldChar w:fldCharType="separate"/>
      </w:r>
      <w:r>
        <w:rPr>
          <w:rFonts w:hint="eastAsia" w:ascii="楷体" w:hAnsi="楷体" w:eastAsia="楷体" w:cs="楷体"/>
          <w:bCs/>
          <w:szCs w:val="24"/>
        </w:rPr>
        <w:t>开户银行</w:t>
      </w:r>
      <w:r>
        <w:rPr>
          <w:rFonts w:hint="eastAsia" w:ascii="楷体" w:hAnsi="楷体" w:eastAsia="楷体" w:cs="楷体"/>
          <w:bCs/>
          <w:szCs w:val="24"/>
        </w:rPr>
        <w:fldChar w:fldCharType="end"/>
      </w:r>
      <w:r>
        <w:rPr>
          <w:rFonts w:hint="eastAsia" w:ascii="楷体" w:hAnsi="楷体" w:eastAsia="楷体" w:cs="楷体"/>
          <w:bCs/>
          <w:szCs w:val="24"/>
        </w:rPr>
        <w:t>：</w:t>
      </w:r>
    </w:p>
    <w:p w14:paraId="1277E046">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账    号：</w:t>
      </w:r>
      <w:r>
        <w:rPr>
          <w:rFonts w:hint="eastAsia" w:ascii="楷体" w:hAnsi="楷体" w:eastAsia="楷体" w:cs="楷体"/>
          <w:bCs/>
          <w:szCs w:val="24"/>
          <w:lang w:val="en-US" w:eastAsia="zh-CN"/>
        </w:rPr>
        <w:t xml:space="preserve">      </w:t>
      </w:r>
      <w:r>
        <w:rPr>
          <w:rFonts w:hint="eastAsia" w:ascii="楷体" w:hAnsi="楷体" w:eastAsia="楷体" w:cs="楷体"/>
          <w:bCs/>
          <w:szCs w:val="24"/>
        </w:rPr>
        <w:t>账    号：</w:t>
      </w:r>
    </w:p>
    <w:p w14:paraId="232E5454">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电    话：</w:t>
      </w:r>
      <w:r>
        <w:rPr>
          <w:rFonts w:hint="eastAsia" w:ascii="楷体" w:hAnsi="楷体" w:eastAsia="楷体" w:cs="楷体"/>
          <w:bCs/>
          <w:szCs w:val="24"/>
          <w:lang w:val="en-US" w:eastAsia="zh-CN"/>
        </w:rPr>
        <w:t xml:space="preserve">      </w:t>
      </w:r>
      <w:r>
        <w:rPr>
          <w:rFonts w:hint="eastAsia" w:ascii="楷体" w:hAnsi="楷体" w:eastAsia="楷体" w:cs="楷体"/>
          <w:bCs/>
          <w:szCs w:val="24"/>
        </w:rPr>
        <w:t>电    话：</w:t>
      </w:r>
    </w:p>
    <w:p w14:paraId="33FF8498">
      <w:pPr>
        <w:widowControl/>
        <w:spacing w:line="520" w:lineRule="exact"/>
        <w:ind w:firstLine="480" w:firstLineChars="200"/>
        <w:jc w:val="left"/>
        <w:rPr>
          <w:rFonts w:hint="eastAsia" w:ascii="楷体" w:hAnsi="楷体" w:eastAsia="楷体" w:cs="楷体"/>
          <w:bCs/>
          <w:szCs w:val="24"/>
        </w:rPr>
      </w:pPr>
      <w:r>
        <w:rPr>
          <w:rFonts w:hint="eastAsia" w:ascii="楷体" w:hAnsi="楷体" w:eastAsia="楷体" w:cs="楷体"/>
          <w:bCs/>
          <w:szCs w:val="24"/>
        </w:rPr>
        <w:t>地    址：</w:t>
      </w:r>
      <w:r>
        <w:rPr>
          <w:rFonts w:hint="eastAsia" w:ascii="楷体" w:hAnsi="楷体" w:eastAsia="楷体" w:cs="楷体"/>
          <w:bCs/>
          <w:szCs w:val="24"/>
          <w:lang w:val="en-US" w:eastAsia="zh-CN"/>
        </w:rPr>
        <w:t xml:space="preserve">      </w:t>
      </w:r>
      <w:r>
        <w:rPr>
          <w:rFonts w:hint="eastAsia" w:ascii="楷体" w:hAnsi="楷体" w:eastAsia="楷体" w:cs="楷体"/>
          <w:bCs/>
          <w:szCs w:val="24"/>
        </w:rPr>
        <w:t>地    址：</w:t>
      </w:r>
    </w:p>
    <w:p w14:paraId="6188DD11">
      <w:pPr>
        <w:widowControl/>
        <w:spacing w:line="520" w:lineRule="exact"/>
        <w:ind w:firstLine="480" w:firstLineChars="200"/>
        <w:jc w:val="left"/>
        <w:rPr>
          <w:rFonts w:hint="eastAsia" w:ascii="楷体" w:hAnsi="楷体" w:eastAsia="楷体" w:cs="楷体"/>
          <w:b/>
          <w:bCs/>
          <w:szCs w:val="24"/>
        </w:rPr>
      </w:pPr>
      <w:r>
        <w:rPr>
          <w:rFonts w:hint="eastAsia" w:ascii="楷体" w:hAnsi="楷体" w:eastAsia="楷体" w:cs="楷体"/>
          <w:bCs/>
          <w:szCs w:val="24"/>
        </w:rPr>
        <w:t xml:space="preserve">时    间：  年月日    </w:t>
      </w:r>
      <w:r>
        <w:rPr>
          <w:rFonts w:hint="eastAsia" w:ascii="楷体" w:hAnsi="楷体" w:eastAsia="楷体" w:cs="楷体"/>
          <w:bCs/>
          <w:szCs w:val="24"/>
          <w:lang w:val="en-US" w:eastAsia="zh-CN"/>
        </w:rPr>
        <w:t xml:space="preserve">      </w:t>
      </w:r>
      <w:r>
        <w:rPr>
          <w:rFonts w:hint="eastAsia" w:ascii="楷体" w:hAnsi="楷体" w:eastAsia="楷体" w:cs="楷体"/>
          <w:bCs/>
          <w:szCs w:val="24"/>
        </w:rPr>
        <w:t>时    间：  年月日</w:t>
      </w:r>
    </w:p>
    <w:p w14:paraId="40BB4B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0fc59f0e-dd6b-4448-bcb2-f51c1cb92310"/>
  </w:docVars>
  <w:rsids>
    <w:rsidRoot w:val="00000000"/>
    <w:rsid w:val="0252439F"/>
    <w:rsid w:val="2CDE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Body Text First Indent 2"/>
    <w:basedOn w:val="3"/>
    <w:unhideWhenUsed/>
    <w:qFormat/>
    <w:uiPriority w:val="0"/>
    <w:pPr>
      <w:ind w:firstLine="420"/>
    </w:pPr>
  </w:style>
  <w:style w:type="paragraph" w:customStyle="1" w:styleId="8">
    <w:name w:val="Table Text"/>
    <w:basedOn w:val="1"/>
    <w:semiHidden/>
    <w:qFormat/>
    <w:uiPriority w:val="0"/>
    <w:rPr>
      <w:rFonts w:ascii="宋体" w:hAnsi="宋体" w:eastAsia="宋体" w:cs="宋体"/>
      <w:sz w:val="24"/>
      <w:szCs w:val="24"/>
      <w:lang w:val="en-US" w:eastAsia="en-US" w:bidi="ar-SA"/>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4612</Words>
  <Characters>4701</Characters>
  <Lines>0</Lines>
  <Paragraphs>0</Paragraphs>
  <TotalTime>8</TotalTime>
  <ScaleCrop>false</ScaleCrop>
  <LinksUpToDate>false</LinksUpToDate>
  <CharactersWithSpaces>5095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2025-05-07T00:42:00Z</dcterms:created>
  <dc:creator>Administrator</dc:creator>
  <cp:lastModifiedBy>biubiubiu～</cp:lastModifiedBy>
  <dcterms:modified xsi:type="dcterms:W3CDTF">2025-06-11T06:34:38Z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4ECD649EA1C045FBB0D82A492FBFB84B_12</vt:lpwstr>
  </property>
  <property fmtid="{D5CDD505-2E9C-101B-9397-08002B2CF9AE}" pid="4" name="KSOTemplateDocerSaveRecord">
    <vt:lpwstr>eyJoZGlkIjoiODZlMWY4YmYzZmQyZjVhNDU2ZmJiYmUxODBhNWZhNzEiLCJ1c2VySWQiOiI1OTY3NDYyODgifQ==</vt:lpwstr>
  </property>
</Properties>
</file>