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1A5B7">
      <w:pPr>
        <w:numPr>
          <w:ilvl w:val="0"/>
          <w:numId w:val="0"/>
        </w:numPr>
        <w:jc w:val="center"/>
        <w:outlineLvl w:val="1"/>
        <w:rPr>
          <w:rFonts w:hint="eastAsia" w:ascii="仿宋_GB2312" w:hAnsi="仿宋_GB2312" w:eastAsia="仿宋_GB2312" w:cs="仿宋_GB2312"/>
          <w:b/>
          <w:sz w:val="36"/>
          <w:lang w:val="en-US" w:eastAsia="zh-Hans"/>
        </w:rPr>
      </w:pPr>
      <w:r>
        <w:rPr>
          <w:rFonts w:hint="eastAsia" w:ascii="宋体" w:hAnsi="宋体" w:eastAsia="宋体" w:cs="宋体"/>
          <w:b/>
          <w:sz w:val="32"/>
          <w:szCs w:val="32"/>
          <w:lang w:val="en-US" w:eastAsia="zh-Hans"/>
        </w:rPr>
        <w:t>拟签订采购合同文本</w:t>
      </w:r>
    </w:p>
    <w:p w14:paraId="650B53E3">
      <w:pPr>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注：本合同仅为合同的参考文本，合同签订双方可根据项目的具体要求进行修订。</w:t>
      </w:r>
    </w:p>
    <w:p w14:paraId="628CA020">
      <w:pPr>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采购包1-采购包3</w:t>
      </w:r>
      <w:bookmarkStart w:id="0" w:name="_GoBack"/>
      <w:bookmarkEnd w:id="0"/>
      <w:r>
        <w:rPr>
          <w:rFonts w:hint="eastAsia" w:ascii="仿宋" w:hAnsi="仿宋" w:eastAsia="仿宋" w:cs="仿宋"/>
          <w:highlight w:val="none"/>
          <w:lang w:val="en-US" w:eastAsia="zh-CN"/>
        </w:rPr>
        <w:t>通用合同文本：</w:t>
      </w:r>
    </w:p>
    <w:p w14:paraId="3D20C6B5">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outlineLvl w:val="1"/>
        <w:rPr>
          <w:rFonts w:hint="eastAsia" w:ascii="宋体" w:hAnsi="宋体" w:eastAsia="宋体" w:cs="宋体"/>
          <w:color w:val="auto"/>
          <w:sz w:val="24"/>
          <w:szCs w:val="24"/>
          <w:highlight w:val="none"/>
          <w:lang w:val="en-US" w:eastAsia="zh-Hans"/>
        </w:rPr>
      </w:pPr>
      <w:r>
        <w:rPr>
          <w:rFonts w:hint="eastAsia" w:ascii="宋体" w:hAnsi="宋体" w:eastAsia="宋体" w:cs="宋体"/>
          <w:color w:val="auto"/>
          <w:sz w:val="24"/>
          <w:szCs w:val="24"/>
          <w:highlight w:val="none"/>
          <w:lang w:val="en-US" w:eastAsia="zh-Hans"/>
        </w:rPr>
        <w:t>采购人（以下简称甲方）：</w:t>
      </w:r>
    </w:p>
    <w:p w14:paraId="18CD48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供应商（以下简称乙方）：</w:t>
      </w:r>
    </w:p>
    <w:p w14:paraId="38C8B258">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根据《中华人民共和国民法典》、《中华人民共和国政府采购法》及其它有关法律、行政法规，为明确双方在施工过程中的权利、义务，经双方协商自愿签订本合同。</w:t>
      </w:r>
    </w:p>
    <w:p w14:paraId="106A3AC3">
      <w:pPr>
        <w:spacing w:before="120" w:after="12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一、合同组成</w:t>
      </w:r>
    </w:p>
    <w:p w14:paraId="725AD313">
      <w:pPr>
        <w:autoSpaceDE w:val="0"/>
        <w:autoSpaceDN w:val="0"/>
        <w:adjustRightInd w:val="0"/>
        <w:spacing w:line="360" w:lineRule="auto"/>
        <w:ind w:left="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zh-CN"/>
        </w:rPr>
        <w:t>下述文件是构成本合同不可分割的部分</w:t>
      </w:r>
      <w:r>
        <w:rPr>
          <w:rFonts w:hint="eastAsia" w:ascii="宋体" w:hAnsi="宋体" w:eastAsia="宋体" w:cs="宋体"/>
          <w:color w:val="auto"/>
          <w:sz w:val="24"/>
          <w:szCs w:val="24"/>
          <w:highlight w:val="none"/>
        </w:rPr>
        <w:t>:</w:t>
      </w:r>
    </w:p>
    <w:p w14:paraId="067A5337">
      <w:pPr>
        <w:autoSpaceDE w:val="0"/>
        <w:autoSpaceDN w:val="0"/>
        <w:adjustRightInd w:val="0"/>
        <w:spacing w:line="360" w:lineRule="auto"/>
        <w:ind w:left="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zh-CN"/>
        </w:rPr>
        <w:t>本合同条款及其所有附件。</w:t>
      </w:r>
    </w:p>
    <w:p w14:paraId="1D4EBB2C">
      <w:pPr>
        <w:autoSpaceDE w:val="0"/>
        <w:autoSpaceDN w:val="0"/>
        <w:adjustRightInd w:val="0"/>
        <w:spacing w:line="360" w:lineRule="auto"/>
        <w:ind w:firstLine="48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val="zh-CN"/>
        </w:rPr>
        <w:t>文件及澄清文件。</w:t>
      </w:r>
    </w:p>
    <w:p w14:paraId="094C303E">
      <w:pPr>
        <w:autoSpaceDE w:val="0"/>
        <w:autoSpaceDN w:val="0"/>
        <w:adjustRightInd w:val="0"/>
        <w:spacing w:line="360" w:lineRule="auto"/>
        <w:ind w:firstLine="48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zh-CN"/>
        </w:rPr>
        <w:t>乙方的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文件及质疑解答文件。</w:t>
      </w:r>
    </w:p>
    <w:p w14:paraId="49EB651E">
      <w:pPr>
        <w:autoSpaceDE w:val="0"/>
        <w:autoSpaceDN w:val="0"/>
        <w:adjustRightInd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val="zh-CN"/>
        </w:rPr>
        <w:t>通知书。</w:t>
      </w:r>
    </w:p>
    <w:p w14:paraId="7259EC79">
      <w:pPr>
        <w:autoSpaceDE w:val="0"/>
        <w:autoSpaceDN w:val="0"/>
        <w:adjustRightInd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zh-CN"/>
        </w:rPr>
        <w:t>法定代表人授权书。</w:t>
      </w:r>
    </w:p>
    <w:p w14:paraId="27BF8D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（6）双方与合同有关的往来信函、传真经双方法定代表人或其授权代表签字并加盖单位公章确认后视为本合同的组成部分。</w:t>
      </w:r>
    </w:p>
    <w:p w14:paraId="25B3FD1C">
      <w:pPr>
        <w:autoSpaceDE w:val="0"/>
        <w:autoSpaceDN w:val="0"/>
        <w:adjustRightInd w:val="0"/>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（7）经双方法定代表人或其授权代表签字并加盖单位公章确认的补充协议。</w:t>
      </w:r>
    </w:p>
    <w:p w14:paraId="618F0A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如果乙方的投标文件及质疑解答文件内容违背或低于招标文件要求或任何可能导致影响当次采购目的的情形，均应当被视为乙方自动放弃投标文件及质疑解答文件中相应部分而同意以招标文件相应内容为准。如果乙方的投标文件及质疑解答文件内容高于招标文件要求，则以乙方的投标文件及质疑解答文件内容为准。如果合同条款与合同附件有矛盾之处，以合同条款内容为准。</w:t>
      </w:r>
      <w:r>
        <w:rPr>
          <w:rFonts w:hint="eastAsia" w:ascii="宋体" w:hAnsi="宋体" w:eastAsia="宋体" w:cs="宋体"/>
          <w:color w:val="auto"/>
          <w:sz w:val="24"/>
          <w:szCs w:val="24"/>
          <w:highlight w:val="none"/>
        </w:rPr>
        <w:t>如果合同附件之间有矛盾之处，以有利于甲方的附件内容为准。</w:t>
      </w:r>
    </w:p>
    <w:p w14:paraId="7BD62AA6">
      <w:pPr>
        <w:overflowPunct w:val="0"/>
        <w:spacing w:after="120" w:afterLines="50"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7F8735F6">
      <w:pPr>
        <w:spacing w:before="120" w:after="12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二、项目概况</w:t>
      </w:r>
    </w:p>
    <w:p w14:paraId="4A0CF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rPr>
        <w:t>1.服务内容：</w:t>
      </w:r>
      <w:r>
        <w:rPr>
          <w:rFonts w:hint="eastAsia" w:ascii="宋体" w:hAnsi="宋体" w:eastAsia="宋体" w:cs="宋体"/>
          <w:sz w:val="24"/>
          <w:szCs w:val="24"/>
          <w:highlight w:val="none"/>
          <w:lang w:eastAsia="zh-CN"/>
        </w:rPr>
        <w:t>汽车用制动器衬片等16种产品质量监督抽查，共分为四个包其中，第一包：汽车用制动器衬片等4种产品质量监督抽查；第二包：眼镜架等6种产品质量监督抽查；第三包：体育用品等3种产品质量监督抽查；第四包：机动车儿童乘员用约束系统等3种产品质量监督抽查。依据检验标准向</w:t>
      </w:r>
      <w:r>
        <w:rPr>
          <w:rFonts w:hint="eastAsia" w:ascii="宋体" w:hAnsi="宋体" w:eastAsia="宋体" w:cs="宋体"/>
          <w:sz w:val="24"/>
          <w:szCs w:val="24"/>
          <w:highlight w:val="none"/>
          <w:lang w:val="en-US" w:eastAsia="zh-CN"/>
        </w:rPr>
        <w:t>甲方</w:t>
      </w:r>
      <w:r>
        <w:rPr>
          <w:rFonts w:hint="eastAsia" w:ascii="宋体" w:hAnsi="宋体" w:eastAsia="宋体" w:cs="宋体"/>
          <w:sz w:val="24"/>
          <w:szCs w:val="24"/>
          <w:highlight w:val="none"/>
          <w:lang w:eastAsia="zh-CN"/>
        </w:rPr>
        <w:t>出具真实有效的产品质量检验报告。</w:t>
      </w:r>
    </w:p>
    <w:p w14:paraId="6352A33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Hans" w:bidi="ar-SA"/>
        </w:rPr>
        <w:t>2.</w:t>
      </w:r>
      <w:r>
        <w:rPr>
          <w:rFonts w:hint="eastAsia" w:ascii="宋体" w:hAnsi="宋体" w:eastAsia="宋体" w:cs="宋体"/>
          <w:bCs/>
          <w:color w:val="auto"/>
          <w:kern w:val="2"/>
          <w:sz w:val="24"/>
          <w:szCs w:val="24"/>
          <w:highlight w:val="none"/>
          <w:lang w:val="en-US" w:eastAsia="zh-CN" w:bidi="ar-SA"/>
        </w:rPr>
        <w:t>服务</w:t>
      </w:r>
      <w:r>
        <w:rPr>
          <w:rFonts w:hint="eastAsia" w:ascii="宋体" w:hAnsi="宋体" w:eastAsia="宋体" w:cs="宋体"/>
          <w:bCs/>
          <w:color w:val="auto"/>
          <w:kern w:val="2"/>
          <w:sz w:val="24"/>
          <w:szCs w:val="24"/>
          <w:highlight w:val="none"/>
          <w:lang w:val="en-US" w:eastAsia="zh-Hans" w:bidi="ar-SA"/>
        </w:rPr>
        <w:t>期：</w:t>
      </w:r>
      <w:r>
        <w:rPr>
          <w:rFonts w:hint="eastAsia" w:ascii="宋体" w:hAnsi="宋体" w:eastAsia="宋体" w:cs="宋体"/>
          <w:bCs/>
          <w:color w:val="auto"/>
          <w:kern w:val="2"/>
          <w:sz w:val="24"/>
          <w:szCs w:val="24"/>
          <w:highlight w:val="none"/>
          <w:lang w:val="en-US" w:eastAsia="zh-CN" w:bidi="ar-SA"/>
        </w:rPr>
        <w:t>自合同签订之日起一年</w:t>
      </w:r>
    </w:p>
    <w:p w14:paraId="646F629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3.服务地点：甲方指定地点</w:t>
      </w:r>
    </w:p>
    <w:p w14:paraId="5B0F172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Hans"/>
        </w:rPr>
      </w:pPr>
      <w:r>
        <w:rPr>
          <w:rFonts w:hint="eastAsia" w:ascii="宋体" w:hAnsi="宋体" w:eastAsia="宋体" w:cs="宋体"/>
          <w:bCs/>
          <w:color w:val="auto"/>
          <w:kern w:val="2"/>
          <w:sz w:val="24"/>
          <w:szCs w:val="24"/>
          <w:highlight w:val="none"/>
          <w:lang w:val="en-US" w:eastAsia="zh-CN" w:bidi="ar-SA"/>
        </w:rPr>
        <w:t>4.</w:t>
      </w:r>
      <w:r>
        <w:rPr>
          <w:rFonts w:hint="eastAsia" w:ascii="宋体" w:hAnsi="宋体" w:eastAsia="宋体" w:cs="宋体"/>
          <w:bCs/>
          <w:color w:val="auto"/>
          <w:kern w:val="2"/>
          <w:sz w:val="24"/>
          <w:szCs w:val="24"/>
          <w:highlight w:val="none"/>
          <w:lang w:val="en-US" w:eastAsia="zh-Hans" w:bidi="ar-SA"/>
        </w:rPr>
        <w:t>质量要求：</w:t>
      </w:r>
      <w:r>
        <w:rPr>
          <w:rFonts w:hint="eastAsia" w:ascii="宋体" w:hAnsi="宋体" w:eastAsia="宋体" w:cs="宋体"/>
          <w:bCs/>
          <w:color w:val="auto"/>
          <w:kern w:val="2"/>
          <w:sz w:val="24"/>
          <w:szCs w:val="24"/>
          <w:highlight w:val="none"/>
          <w:lang w:val="en-US" w:eastAsia="zh-CN" w:bidi="ar-SA"/>
        </w:rPr>
        <w:t>供应商所出具的检验报告满足国家或行业</w:t>
      </w:r>
      <w:r>
        <w:rPr>
          <w:rFonts w:hint="eastAsia" w:ascii="宋体" w:hAnsi="宋体" w:eastAsia="宋体" w:cs="宋体"/>
          <w:bCs/>
          <w:color w:val="auto"/>
          <w:kern w:val="2"/>
          <w:sz w:val="24"/>
          <w:szCs w:val="24"/>
          <w:highlight w:val="none"/>
          <w:lang w:val="en-US" w:eastAsia="zh-Hans" w:bidi="ar-SA"/>
        </w:rPr>
        <w:t>规范</w:t>
      </w:r>
      <w:r>
        <w:rPr>
          <w:rFonts w:hint="eastAsia" w:ascii="宋体" w:hAnsi="宋体" w:eastAsia="宋体" w:cs="宋体"/>
          <w:bCs/>
          <w:color w:val="auto"/>
          <w:kern w:val="2"/>
          <w:sz w:val="24"/>
          <w:szCs w:val="24"/>
          <w:highlight w:val="none"/>
          <w:lang w:val="en-US" w:eastAsia="zh-CN" w:bidi="ar-SA"/>
        </w:rPr>
        <w:t>执行标准</w:t>
      </w:r>
      <w:r>
        <w:rPr>
          <w:rFonts w:hint="eastAsia" w:ascii="宋体" w:hAnsi="宋体" w:eastAsia="宋体" w:cs="宋体"/>
          <w:bCs/>
          <w:color w:val="auto"/>
          <w:kern w:val="2"/>
          <w:sz w:val="24"/>
          <w:szCs w:val="24"/>
          <w:highlight w:val="none"/>
          <w:lang w:val="en-US" w:eastAsia="zh-Hans" w:bidi="ar-SA"/>
        </w:rPr>
        <w:t>。</w:t>
      </w:r>
    </w:p>
    <w:p w14:paraId="751ECDCE">
      <w:pPr>
        <w:spacing w:before="120" w:after="12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bCs/>
          <w:color w:val="auto"/>
          <w:sz w:val="24"/>
          <w:szCs w:val="24"/>
          <w:highlight w:val="none"/>
        </w:rPr>
        <w:t>合同价款及付款比例</w:t>
      </w:r>
    </w:p>
    <w:p w14:paraId="77EDD853">
      <w:pPr>
        <w:spacing w:line="360"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rPr>
        <w:t>1.合同价款：</w:t>
      </w:r>
      <w:r>
        <w:rPr>
          <w:rFonts w:hint="eastAsia" w:ascii="宋体" w:hAnsi="宋体" w:eastAsia="宋体" w:cs="宋体"/>
          <w:color w:val="auto"/>
          <w:sz w:val="24"/>
          <w:szCs w:val="24"/>
          <w:highlight w:val="none"/>
        </w:rPr>
        <w:t>合同为固定</w:t>
      </w:r>
      <w:r>
        <w:rPr>
          <w:rFonts w:hint="eastAsia" w:ascii="宋体" w:hAnsi="宋体" w:eastAsia="宋体" w:cs="宋体"/>
          <w:color w:val="auto"/>
          <w:sz w:val="24"/>
          <w:szCs w:val="24"/>
          <w:highlight w:val="none"/>
          <w:lang w:val="en-US" w:eastAsia="zh-CN"/>
        </w:rPr>
        <w:t>总价</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详见投标文件，总结算金额不超过项目采购包预算金额</w:t>
      </w:r>
      <w:r>
        <w:rPr>
          <w:rFonts w:hint="eastAsia" w:ascii="宋体" w:hAnsi="宋体" w:eastAsia="宋体" w:cs="宋体"/>
          <w:color w:val="auto"/>
          <w:sz w:val="24"/>
          <w:szCs w:val="24"/>
          <w:highlight w:val="none"/>
          <w:lang w:eastAsia="zh-CN"/>
        </w:rPr>
        <w:t>。</w:t>
      </w:r>
    </w:p>
    <w:p w14:paraId="48D560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付款方式：</w:t>
      </w:r>
    </w:p>
    <w:p w14:paraId="470C7D5B">
      <w:pPr>
        <w:keepNext w:val="0"/>
        <w:keepLines w:val="0"/>
        <w:pageBreakBefore w:val="0"/>
        <w:widowControl w:val="0"/>
        <w:kinsoku/>
        <w:wordWrap/>
        <w:overflowPunct/>
        <w:topLinePunct w:val="0"/>
        <w:autoSpaceDE/>
        <w:autoSpaceDN/>
        <w:bidi w:val="0"/>
        <w:snapToGrid/>
        <w:spacing w:line="360" w:lineRule="auto"/>
        <w:ind w:firstLine="720" w:firstLineChars="3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2.1合同签订后，达到付款条件起30 日内，支付合同总金额的85.00%</w:t>
      </w:r>
      <w:r>
        <w:rPr>
          <w:rFonts w:hint="eastAsia" w:ascii="宋体" w:hAnsi="宋体" w:eastAsia="宋体" w:cs="宋体"/>
          <w:bCs/>
          <w:color w:val="auto"/>
          <w:sz w:val="24"/>
          <w:szCs w:val="24"/>
          <w:highlight w:val="none"/>
        </w:rPr>
        <w:t>。</w:t>
      </w:r>
    </w:p>
    <w:p w14:paraId="6A4B9632">
      <w:pPr>
        <w:keepNext w:val="0"/>
        <w:keepLines w:val="0"/>
        <w:pageBreakBefore w:val="0"/>
        <w:widowControl w:val="0"/>
        <w:kinsoku/>
        <w:wordWrap/>
        <w:overflowPunct/>
        <w:topLinePunct w:val="0"/>
        <w:autoSpaceDE/>
        <w:autoSpaceDN/>
        <w:bidi w:val="0"/>
        <w:snapToGrid/>
        <w:spacing w:line="360" w:lineRule="auto"/>
        <w:ind w:firstLine="720" w:firstLineChars="3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2.2</w:t>
      </w:r>
      <w:r>
        <w:rPr>
          <w:rFonts w:hint="eastAsia" w:ascii="宋体" w:hAnsi="宋体" w:eastAsia="宋体" w:cs="宋体"/>
          <w:bCs/>
          <w:color w:val="auto"/>
          <w:sz w:val="24"/>
          <w:szCs w:val="24"/>
          <w:highlight w:val="none"/>
        </w:rPr>
        <w:t>付款条件说明：服务期结束且验收合格后，达到付款条件起30日内，支付合同总金额的15.00%。</w:t>
      </w:r>
    </w:p>
    <w:p w14:paraId="145374E3">
      <w:pPr>
        <w:keepNext w:val="0"/>
        <w:keepLines w:val="0"/>
        <w:pageBreakBefore w:val="0"/>
        <w:widowControl w:val="0"/>
        <w:kinsoku/>
        <w:wordWrap/>
        <w:overflowPunct/>
        <w:topLinePunct w:val="0"/>
        <w:autoSpaceDE/>
        <w:autoSpaceDN/>
        <w:bidi w:val="0"/>
        <w:snapToGrid/>
        <w:spacing w:line="360" w:lineRule="auto"/>
        <w:ind w:firstLine="720" w:firstLineChars="30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564A9157">
      <w:pPr>
        <w:pageBreakBefore w:val="0"/>
        <w:widowControl/>
        <w:tabs>
          <w:tab w:val="left" w:pos="426"/>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3.乙方开户银行指定账户为：</w:t>
      </w:r>
    </w:p>
    <w:p w14:paraId="45053745">
      <w:pPr>
        <w:widowControl/>
        <w:tabs>
          <w:tab w:val="left" w:pos="426"/>
        </w:tabs>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收款人：</w:t>
      </w:r>
    </w:p>
    <w:p w14:paraId="68789CF1">
      <w:pPr>
        <w:widowControl/>
        <w:tabs>
          <w:tab w:val="left" w:pos="426"/>
        </w:tabs>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w:t>
      </w:r>
    </w:p>
    <w:p w14:paraId="0EA234E2">
      <w:pPr>
        <w:widowControl/>
        <w:tabs>
          <w:tab w:val="left" w:pos="426"/>
        </w:tabs>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p>
    <w:p w14:paraId="77E4CF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4.甲方付款前，乙方应向甲方开具正式等额发票，否则甲方有权延迟履行付款义务。</w:t>
      </w:r>
    </w:p>
    <w:p w14:paraId="5539514E">
      <w:pPr>
        <w:spacing w:line="360" w:lineRule="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四、</w:t>
      </w: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lang w:val="en-US" w:eastAsia="zh-CN"/>
        </w:rPr>
        <w:t>项目负责人</w:t>
      </w:r>
    </w:p>
    <w:p w14:paraId="3914F54C">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本项目拟派</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为负责人，联系电话：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，身份证号：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14:paraId="512C134B">
      <w:pPr>
        <w:widowControl w:val="0"/>
        <w:spacing w:before="120" w:after="120" w:line="360" w:lineRule="auto"/>
        <w:jc w:val="both"/>
        <w:rPr>
          <w:rFonts w:hint="eastAsia" w:ascii="宋体" w:hAnsi="宋体" w:eastAsia="宋体" w:cs="宋体"/>
          <w:b/>
          <w:color w:val="auto"/>
          <w:kern w:val="2"/>
          <w:sz w:val="24"/>
          <w:szCs w:val="24"/>
          <w:highlight w:val="none"/>
          <w:lang w:val="zh-CN" w:eastAsia="zh-CN" w:bidi="ar-SA"/>
        </w:rPr>
      </w:pPr>
      <w:r>
        <w:rPr>
          <w:rFonts w:hint="eastAsia" w:ascii="宋体" w:hAnsi="宋体" w:eastAsia="宋体" w:cs="宋体"/>
          <w:b/>
          <w:color w:val="auto"/>
          <w:kern w:val="2"/>
          <w:sz w:val="24"/>
          <w:szCs w:val="24"/>
          <w:highlight w:val="none"/>
          <w:lang w:val="zh-CN" w:eastAsia="zh-CN" w:bidi="ar-SA"/>
        </w:rPr>
        <w:t>五、甲方的主要责任和权利</w:t>
      </w:r>
    </w:p>
    <w:p w14:paraId="38E50665">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甲方有权享有乙方按照上述约定提供的服务</w:t>
      </w:r>
      <w:r>
        <w:rPr>
          <w:rFonts w:hint="eastAsia" w:ascii="宋体" w:hAnsi="宋体" w:eastAsia="宋体" w:cs="宋体"/>
          <w:color w:val="auto"/>
          <w:sz w:val="24"/>
          <w:szCs w:val="24"/>
          <w:highlight w:val="none"/>
          <w:lang w:eastAsia="zh-CN"/>
        </w:rPr>
        <w:t>；</w:t>
      </w:r>
    </w:p>
    <w:p w14:paraId="39EFDAE4">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314C0D29">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.采购人不得干涉服务商依法或依本合同规定内容所进行的管理活动；</w:t>
      </w:r>
    </w:p>
    <w:p w14:paraId="5B0A9AA4">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除本合同约定的服务费用外，乙方不得向甲方及其甲方人员收取其他任何费用，如甲方发现乙方有此类行为，甲方有权要求乙方清退所收费用， 退还利息并支付违约金；</w:t>
      </w:r>
    </w:p>
    <w:p w14:paraId="38FA5FC8">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在服务实施过程中，甲方应为乙方提供必要的工作便利与指导，配合乙方履行职责</w:t>
      </w:r>
      <w:r>
        <w:rPr>
          <w:rFonts w:hint="eastAsia" w:ascii="宋体" w:hAnsi="宋体" w:eastAsia="宋体" w:cs="宋体"/>
          <w:color w:val="auto"/>
          <w:sz w:val="24"/>
          <w:szCs w:val="24"/>
          <w:highlight w:val="none"/>
          <w:lang w:eastAsia="zh-CN"/>
        </w:rPr>
        <w:t>；</w:t>
      </w:r>
    </w:p>
    <w:p w14:paraId="53BDAE5A">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甲方不得将本合同的内容向甲乙双方以外的、与签订和履行本合同无关的任何第三方透露，不得泄露乙方的商业秘密（包括本合同及其附件和合同签订前的各项方案）</w:t>
      </w:r>
      <w:r>
        <w:rPr>
          <w:rFonts w:hint="eastAsia" w:ascii="宋体" w:hAnsi="宋体" w:eastAsia="宋体" w:cs="宋体"/>
          <w:color w:val="auto"/>
          <w:sz w:val="24"/>
          <w:szCs w:val="24"/>
          <w:highlight w:val="none"/>
          <w:lang w:eastAsia="zh-CN"/>
        </w:rPr>
        <w:t>。</w:t>
      </w:r>
    </w:p>
    <w:p w14:paraId="02155200">
      <w:pPr>
        <w:spacing w:before="120" w:after="12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六、乙方的主要责任和权利</w:t>
      </w:r>
    </w:p>
    <w:p w14:paraId="362BD5B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1.乙方必须具有履行本合同书所需的技能，必须按照相关的职业准则完成其全部职责</w:t>
      </w:r>
      <w:r>
        <w:rPr>
          <w:rFonts w:hint="eastAsia" w:ascii="宋体" w:hAnsi="宋体" w:eastAsia="宋体" w:cs="宋体"/>
          <w:color w:val="auto"/>
          <w:sz w:val="24"/>
          <w:szCs w:val="24"/>
          <w:highlight w:val="none"/>
          <w:lang w:eastAsia="zh-CN"/>
        </w:rPr>
        <w:t>；</w:t>
      </w:r>
    </w:p>
    <w:p w14:paraId="49CCE5A4">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2.乙方应根据本合同的约定提交相关文件、资料</w:t>
      </w:r>
      <w:r>
        <w:rPr>
          <w:rFonts w:hint="eastAsia" w:ascii="宋体" w:hAnsi="宋体" w:eastAsia="宋体" w:cs="宋体"/>
          <w:color w:val="auto"/>
          <w:sz w:val="24"/>
          <w:szCs w:val="24"/>
          <w:highlight w:val="none"/>
          <w:lang w:eastAsia="zh-CN"/>
        </w:rPr>
        <w:t>；</w:t>
      </w:r>
    </w:p>
    <w:p w14:paraId="78456A7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.解答甲方提出的与项目有关的询问，接受甲方监督和检查</w:t>
      </w:r>
      <w:r>
        <w:rPr>
          <w:rFonts w:hint="eastAsia" w:ascii="宋体" w:hAnsi="宋体" w:eastAsia="宋体" w:cs="宋体"/>
          <w:color w:val="auto"/>
          <w:sz w:val="24"/>
          <w:szCs w:val="24"/>
          <w:highlight w:val="none"/>
          <w:lang w:eastAsia="zh-CN"/>
        </w:rPr>
        <w:t>；</w:t>
      </w:r>
    </w:p>
    <w:p w14:paraId="54A67E4C">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.乙方应根据本合同的约定提供服务并提交工作成果，确保</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质量</w:t>
      </w:r>
      <w:r>
        <w:rPr>
          <w:rFonts w:hint="eastAsia" w:ascii="宋体" w:hAnsi="宋体" w:eastAsia="宋体" w:cs="宋体"/>
          <w:color w:val="auto"/>
          <w:sz w:val="24"/>
          <w:szCs w:val="24"/>
          <w:highlight w:val="none"/>
          <w:lang w:eastAsia="zh-CN"/>
        </w:rPr>
        <w:t>；</w:t>
      </w:r>
    </w:p>
    <w:p w14:paraId="2A2A50D6">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.乙方人员服务期中发生任何安全问题均与甲方无关</w:t>
      </w:r>
      <w:r>
        <w:rPr>
          <w:rFonts w:hint="eastAsia" w:ascii="宋体" w:hAnsi="宋体" w:eastAsia="宋体" w:cs="宋体"/>
          <w:color w:val="auto"/>
          <w:sz w:val="24"/>
          <w:szCs w:val="24"/>
          <w:highlight w:val="none"/>
          <w:lang w:eastAsia="zh-CN"/>
        </w:rPr>
        <w:t>；</w:t>
      </w:r>
    </w:p>
    <w:p w14:paraId="43576767">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6.乙方对甲方业务应当单独建档，保存完整的工作记录；</w:t>
      </w:r>
    </w:p>
    <w:p w14:paraId="301B0CF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7.乙方应保守甲方业务秘密；</w:t>
      </w:r>
    </w:p>
    <w:p w14:paraId="253B02C4">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8.乙方应当积极、主动地配合甲方的工作。</w:t>
      </w:r>
    </w:p>
    <w:p w14:paraId="674B5316">
      <w:pPr>
        <w:widowControl/>
        <w:tabs>
          <w:tab w:val="left" w:pos="1134"/>
          <w:tab w:val="left" w:pos="1418"/>
        </w:tabs>
        <w:adjustRightInd w:val="0"/>
        <w:spacing w:before="120" w:after="120" w:line="360" w:lineRule="auto"/>
        <w:ind w:left="0" w:leftChars="0" w:firstLine="0" w:firstLineChars="0"/>
        <w:contextualSpacing/>
        <w:jc w:val="left"/>
        <w:rPr>
          <w:rFonts w:hint="eastAsia" w:ascii="宋体" w:hAnsi="宋体" w:eastAsia="宋体" w:cs="宋体"/>
          <w:b/>
          <w:color w:val="auto"/>
          <w:kern w:val="0"/>
          <w:sz w:val="24"/>
          <w:szCs w:val="24"/>
          <w:highlight w:val="none"/>
          <w:lang w:val="en-US" w:eastAsia="zh-CN" w:bidi="en-US"/>
        </w:rPr>
      </w:pPr>
      <w:r>
        <w:rPr>
          <w:rFonts w:hint="eastAsia" w:ascii="宋体" w:hAnsi="宋体" w:eastAsia="宋体" w:cs="宋体"/>
          <w:b/>
          <w:color w:val="auto"/>
          <w:kern w:val="0"/>
          <w:sz w:val="24"/>
          <w:szCs w:val="24"/>
          <w:highlight w:val="none"/>
          <w:lang w:val="en-US" w:eastAsia="zh-CN" w:bidi="en-US"/>
        </w:rPr>
        <w:t>七、</w:t>
      </w:r>
      <w:r>
        <w:rPr>
          <w:rFonts w:hint="eastAsia" w:ascii="宋体" w:hAnsi="宋体" w:eastAsia="宋体" w:cs="宋体"/>
          <w:b/>
          <w:color w:val="auto"/>
          <w:kern w:val="0"/>
          <w:sz w:val="24"/>
          <w:szCs w:val="24"/>
          <w:highlight w:val="none"/>
          <w:lang w:val="zh-CN" w:eastAsia="zh-CN" w:bidi="en-US"/>
        </w:rPr>
        <w:t>知识产权</w:t>
      </w:r>
    </w:p>
    <w:p w14:paraId="5A280535">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1.乙方在为甲方提供服务时所获得或形成成果的知识产权归甲方所有，未经甲方许可，乙方不得以任何方式使用，亦不得出于任何目的向第三方披露或许可第三方使用。</w:t>
      </w:r>
    </w:p>
    <w:p w14:paraId="1F5C71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2.若乙方在为甲方提供服务时侵犯了第三人的权利，致使甲方受到索赔或起诉，由此给甲方造成的一切损失由乙方承担，同时甲方有权解除合同，同时乙方及时消除不良影响。</w:t>
      </w:r>
    </w:p>
    <w:p w14:paraId="6EB505E2">
      <w:pPr>
        <w:spacing w:line="360" w:lineRule="auto"/>
        <w:ind w:firstLine="480" w:firstLineChars="200"/>
        <w:rPr>
          <w:rFonts w:hint="eastAsia" w:ascii="宋体" w:hAnsi="宋体" w:eastAsia="宋体" w:cs="宋体"/>
          <w:b/>
          <w:color w:val="auto"/>
          <w:sz w:val="24"/>
          <w:szCs w:val="24"/>
          <w:highlight w:val="none"/>
          <w:lang w:val="en-US" w:eastAsia="zh-CN"/>
        </w:rPr>
      </w:pPr>
      <w:r>
        <w:rPr>
          <w:rFonts w:hint="eastAsia" w:ascii="宋体" w:hAnsi="宋体" w:eastAsia="宋体" w:cs="宋体"/>
          <w:color w:val="auto"/>
          <w:sz w:val="24"/>
          <w:szCs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36B94FE3">
      <w:pPr>
        <w:widowControl/>
        <w:tabs>
          <w:tab w:val="left" w:pos="1134"/>
          <w:tab w:val="left" w:pos="1418"/>
        </w:tabs>
        <w:adjustRightInd w:val="0"/>
        <w:spacing w:before="120" w:after="120" w:line="360" w:lineRule="auto"/>
        <w:ind w:left="0" w:leftChars="0" w:firstLine="0" w:firstLineChars="0"/>
        <w:contextualSpacing/>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en-US"/>
        </w:rPr>
        <w:t>八、</w:t>
      </w:r>
      <w:r>
        <w:rPr>
          <w:rFonts w:hint="eastAsia" w:ascii="宋体" w:hAnsi="宋体" w:eastAsia="宋体" w:cs="宋体"/>
          <w:b/>
          <w:bCs/>
          <w:color w:val="auto"/>
          <w:kern w:val="2"/>
          <w:sz w:val="24"/>
          <w:szCs w:val="24"/>
          <w:highlight w:val="none"/>
          <w:lang w:val="en-US" w:eastAsia="zh-CN" w:bidi="ar-SA"/>
        </w:rPr>
        <w:t>验收</w:t>
      </w:r>
    </w:p>
    <w:p w14:paraId="1DEDB1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验收时间：供应商提出验收申请之日起10日内组织验收。</w:t>
      </w:r>
    </w:p>
    <w:p w14:paraId="71D3B8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sz w:val="24"/>
          <w:szCs w:val="24"/>
        </w:rPr>
        <w:t>服务期满，经采购人确认合格，确定项目完成</w:t>
      </w:r>
      <w:r>
        <w:rPr>
          <w:rFonts w:hint="eastAsia" w:ascii="宋体" w:hAnsi="宋体" w:eastAsia="宋体" w:cs="宋体"/>
          <w:color w:val="auto"/>
          <w:kern w:val="2"/>
          <w:sz w:val="24"/>
          <w:szCs w:val="24"/>
          <w:highlight w:val="none"/>
          <w:lang w:val="en-US" w:eastAsia="zh-CN" w:bidi="ar-SA"/>
        </w:rPr>
        <w:t>。</w:t>
      </w:r>
    </w:p>
    <w:p w14:paraId="74156F24">
      <w:pPr>
        <w:widowControl/>
        <w:tabs>
          <w:tab w:val="left" w:pos="1134"/>
          <w:tab w:val="left" w:pos="1418"/>
        </w:tabs>
        <w:adjustRightInd w:val="0"/>
        <w:spacing w:before="120" w:after="120" w:line="360" w:lineRule="auto"/>
        <w:ind w:left="0" w:leftChars="0" w:firstLine="0" w:firstLineChars="0"/>
        <w:contextualSpacing/>
        <w:jc w:val="left"/>
        <w:rPr>
          <w:rFonts w:hint="eastAsia" w:ascii="宋体" w:hAnsi="宋体" w:eastAsia="宋体" w:cs="宋体"/>
          <w:b/>
          <w:color w:val="auto"/>
          <w:kern w:val="0"/>
          <w:sz w:val="24"/>
          <w:szCs w:val="24"/>
          <w:highlight w:val="none"/>
          <w:lang w:val="zh-CN" w:eastAsia="zh-CN" w:bidi="en-US"/>
        </w:rPr>
      </w:pPr>
      <w:r>
        <w:rPr>
          <w:rFonts w:hint="eastAsia" w:ascii="宋体" w:hAnsi="宋体" w:eastAsia="宋体" w:cs="宋体"/>
          <w:b/>
          <w:color w:val="auto"/>
          <w:kern w:val="0"/>
          <w:sz w:val="24"/>
          <w:szCs w:val="24"/>
          <w:highlight w:val="none"/>
          <w:lang w:val="en-US" w:eastAsia="zh-CN" w:bidi="en-US"/>
        </w:rPr>
        <w:t>九</w:t>
      </w:r>
      <w:r>
        <w:rPr>
          <w:rFonts w:hint="eastAsia" w:ascii="宋体" w:hAnsi="宋体" w:eastAsia="宋体" w:cs="宋体"/>
          <w:b/>
          <w:color w:val="auto"/>
          <w:kern w:val="0"/>
          <w:sz w:val="24"/>
          <w:szCs w:val="24"/>
          <w:highlight w:val="none"/>
          <w:lang w:val="zh-CN" w:eastAsia="zh-CN" w:bidi="en-US"/>
        </w:rPr>
        <w:t>、保密</w:t>
      </w:r>
    </w:p>
    <w:p w14:paraId="350E5C18">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1.在本合同的履行期内，乙方获得与本项目相关的信息（包括获得的资料及成果等），应当采取适当有效的方式保护，不得未经授权使用、传播或公开。</w:t>
      </w:r>
    </w:p>
    <w:p w14:paraId="127A146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206BA3A7">
      <w:pPr>
        <w:widowControl w:val="0"/>
        <w:spacing w:before="120" w:after="120" w:line="360" w:lineRule="auto"/>
        <w:ind w:left="0" w:leftChars="0" w:firstLine="0" w:firstLineChars="0"/>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十、不可抗力</w:t>
      </w:r>
    </w:p>
    <w:p w14:paraId="4E47E102">
      <w:pPr>
        <w:widowControl w:val="0"/>
        <w:spacing w:line="360" w:lineRule="auto"/>
        <w:ind w:firstLine="480" w:firstLineChars="200"/>
        <w:jc w:val="both"/>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01072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2.遭受不可抗力一方应在不可抗力事故发生后尽快以书面形式通知另一方；并在事故发生后</w:t>
      </w:r>
      <w:r>
        <w:rPr>
          <w:rFonts w:hint="eastAsia" w:ascii="宋体" w:hAnsi="宋体" w:eastAsia="宋体" w:cs="宋体"/>
          <w:color w:val="auto"/>
          <w:sz w:val="24"/>
          <w:szCs w:val="24"/>
          <w:highlight w:val="none"/>
          <w:u w:val="single"/>
        </w:rPr>
        <w:t>十（10）</w:t>
      </w:r>
      <w:r>
        <w:rPr>
          <w:rFonts w:hint="eastAsia" w:ascii="宋体" w:hAnsi="宋体" w:eastAsia="宋体" w:cs="宋体"/>
          <w:color w:val="auto"/>
          <w:sz w:val="24"/>
          <w:szCs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szCs w:val="24"/>
          <w:highlight w:val="none"/>
          <w:u w:val="single"/>
        </w:rPr>
        <w:t>二十（20）</w:t>
      </w:r>
      <w:r>
        <w:rPr>
          <w:rFonts w:hint="eastAsia" w:ascii="宋体" w:hAnsi="宋体" w:eastAsia="宋体" w:cs="宋体"/>
          <w:color w:val="auto"/>
          <w:sz w:val="24"/>
          <w:szCs w:val="24"/>
          <w:highlight w:val="none"/>
        </w:rPr>
        <w:t>个日历日以上，双方应通过友好协商在合理的时间内达成进一步履行合同或终止合同的协议。</w:t>
      </w:r>
    </w:p>
    <w:p w14:paraId="5A877138">
      <w:pPr>
        <w:spacing w:before="120" w:after="12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十一</w:t>
      </w:r>
      <w:r>
        <w:rPr>
          <w:rFonts w:hint="eastAsia" w:ascii="宋体" w:hAnsi="宋体" w:eastAsia="宋体" w:cs="宋体"/>
          <w:b/>
          <w:bCs/>
          <w:color w:val="auto"/>
          <w:sz w:val="24"/>
          <w:szCs w:val="24"/>
          <w:highlight w:val="none"/>
        </w:rPr>
        <w:t>、税费</w:t>
      </w:r>
    </w:p>
    <w:p w14:paraId="508FF9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1.中国政府根据现行税法对乙方征收的与本合同有关的一切税费均由乙方负担。</w:t>
      </w:r>
    </w:p>
    <w:p w14:paraId="4F4D4D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2.在中国境外发生的与本合同执行有关的一切税费均由乙方负担。</w:t>
      </w:r>
    </w:p>
    <w:p w14:paraId="4296DE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3.中国政府依据现行税法对甲方征收的与本合同有关的一切税费均由甲方负担。</w:t>
      </w:r>
    </w:p>
    <w:p w14:paraId="7A4F37E6">
      <w:pPr>
        <w:spacing w:before="120" w:after="12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、破产终止合同</w:t>
      </w:r>
    </w:p>
    <w:p w14:paraId="5DF0F3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当乙方破产或无供货（或提供服务）能力时，甲方可在任何时候以书面形式通知乙方单方解除合同；并且该终止合同不损害或不影响甲方已采取或将采取补救措施的权利。</w:t>
      </w:r>
    </w:p>
    <w:p w14:paraId="14F40ED0">
      <w:pPr>
        <w:spacing w:before="120" w:after="12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、转让</w:t>
      </w:r>
    </w:p>
    <w:p w14:paraId="56FB71AF">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未经甲方事先书面同意，乙方不得部分转让或全部转让其应履行的合同义务。乙方擅自转让自身合同义务，甲方有权单方解除合同，并要求乙方赔偿因此产生的一切损失。</w:t>
      </w:r>
    </w:p>
    <w:p w14:paraId="6D12FB7F">
      <w:pPr>
        <w:spacing w:before="120" w:after="120" w:line="360" w:lineRule="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十</w:t>
      </w: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sz w:val="24"/>
          <w:szCs w:val="24"/>
          <w:highlight w:val="none"/>
          <w:lang w:val="zh-CN"/>
        </w:rPr>
        <w:t>、违约责任</w:t>
      </w:r>
    </w:p>
    <w:p w14:paraId="11B133ED">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color w:val="auto"/>
          <w:kern w:val="0"/>
          <w:sz w:val="24"/>
          <w:szCs w:val="24"/>
          <w:highlight w:val="none"/>
          <w:lang w:val="en-US" w:eastAsia="zh-CN" w:bidi="en-US"/>
        </w:rPr>
      </w:pPr>
      <w:r>
        <w:rPr>
          <w:rFonts w:hint="eastAsia" w:ascii="宋体" w:hAnsi="宋体" w:eastAsia="宋体" w:cs="宋体"/>
          <w:color w:val="auto"/>
          <w:kern w:val="0"/>
          <w:sz w:val="24"/>
          <w:szCs w:val="24"/>
          <w:highlight w:val="none"/>
          <w:lang w:val="en-US" w:eastAsia="zh-CN" w:bidi="en-US"/>
        </w:rPr>
        <w:t>1.按《中华人民共和国民法典》中的相关条款执行。</w:t>
      </w:r>
    </w:p>
    <w:p w14:paraId="2CB72E22">
      <w:pPr>
        <w:spacing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2.合同签</w:t>
      </w:r>
      <w:r>
        <w:rPr>
          <w:rFonts w:hint="eastAsia" w:ascii="宋体" w:hAnsi="宋体" w:eastAsia="宋体" w:cs="宋体"/>
          <w:color w:val="auto"/>
          <w:kern w:val="0"/>
          <w:sz w:val="24"/>
          <w:szCs w:val="24"/>
          <w:highlight w:val="none"/>
          <w:lang w:eastAsia="zh-CN"/>
        </w:rPr>
        <w:t>订后，如乙方擅自中途停止或解除合同，乙方应向甲方</w:t>
      </w:r>
      <w:r>
        <w:rPr>
          <w:rFonts w:hint="eastAsia" w:ascii="宋体" w:hAnsi="宋体" w:eastAsia="宋体" w:cs="宋体"/>
          <w:color w:val="auto"/>
          <w:kern w:val="0"/>
          <w:sz w:val="24"/>
          <w:szCs w:val="24"/>
          <w:highlight w:val="none"/>
          <w:lang w:val="en-US" w:eastAsia="zh-CN"/>
        </w:rPr>
        <w:t>赔偿1.5倍的首次付款</w:t>
      </w:r>
      <w:r>
        <w:rPr>
          <w:rFonts w:hint="eastAsia" w:ascii="宋体" w:hAnsi="宋体" w:eastAsia="宋体" w:cs="宋体"/>
          <w:color w:val="auto"/>
          <w:kern w:val="0"/>
          <w:sz w:val="24"/>
          <w:szCs w:val="24"/>
          <w:highlight w:val="none"/>
          <w:lang w:eastAsia="zh-CN"/>
        </w:rPr>
        <w:t>。</w:t>
      </w:r>
    </w:p>
    <w:p w14:paraId="46EF15D9">
      <w:pPr>
        <w:spacing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eastAsia="zh-CN"/>
        </w:rPr>
        <w:t>服务实施过程中，乙方未按</w:t>
      </w:r>
      <w:r>
        <w:rPr>
          <w:rFonts w:hint="eastAsia" w:ascii="宋体" w:hAnsi="宋体" w:eastAsia="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lang w:eastAsia="zh-CN"/>
        </w:rPr>
        <w:t>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3A58827">
      <w:pPr>
        <w:spacing w:line="360" w:lineRule="auto"/>
        <w:ind w:firstLine="480"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lang w:eastAsia="zh-CN"/>
        </w:rPr>
        <w:t>乙方不得将本项目的任何部分转包或分包给其他任何单位和个人。若擅自转包或分包本合同标的，甲方有权解除合同，并可要求乙方偿付</w:t>
      </w:r>
      <w:r>
        <w:rPr>
          <w:rFonts w:hint="eastAsia" w:ascii="宋体" w:hAnsi="宋体" w:eastAsia="宋体" w:cs="宋体"/>
          <w:color w:val="auto"/>
          <w:kern w:val="0"/>
          <w:sz w:val="24"/>
          <w:szCs w:val="24"/>
          <w:highlight w:val="none"/>
          <w:lang w:val="en-US" w:eastAsia="zh-CN"/>
        </w:rPr>
        <w:t>服务</w:t>
      </w:r>
      <w:r>
        <w:rPr>
          <w:rFonts w:hint="eastAsia" w:ascii="宋体" w:hAnsi="宋体" w:eastAsia="宋体" w:cs="宋体"/>
          <w:color w:val="auto"/>
          <w:kern w:val="0"/>
          <w:sz w:val="24"/>
          <w:szCs w:val="24"/>
          <w:highlight w:val="none"/>
          <w:lang w:eastAsia="zh-CN"/>
        </w:rPr>
        <w:t>费30%的违约金，同时追究其法律责任。</w:t>
      </w:r>
    </w:p>
    <w:p w14:paraId="5E81580C">
      <w:pPr>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乙方承诺有信息系统的，中标后实际未对接陕西省抽查系统数据端口的，扣除中标价1%的抽查经费；乙方无信息系统的，未按照承诺完成任务的，每延误要求的时间一天，扣除中标价0.2%的抽查经费，总扣除不超过2%。</w:t>
      </w:r>
    </w:p>
    <w:p w14:paraId="27E5AEC9">
      <w:pPr>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6.乙方对接系统后，每延误要求的工作时间一天，扣除中标价0.1%的抽查经费，总扣除不超过1%。</w:t>
      </w:r>
    </w:p>
    <w:p w14:paraId="1C826142">
      <w:pPr>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7.乙方配备一名人员负责操作陕西省抽查系统并配合做好质量监督抽查结果处理等工作，如实际工作时未做到，将扣除中标价1%的抽查经费。</w:t>
      </w:r>
    </w:p>
    <w:p w14:paraId="77C4C940">
      <w:pPr>
        <w:spacing w:before="120" w:after="12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、合同争议和解决办法</w:t>
      </w:r>
    </w:p>
    <w:p w14:paraId="1E3D93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6AF6F815">
      <w:pPr>
        <w:spacing w:before="120" w:after="12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、其他事项</w:t>
      </w:r>
    </w:p>
    <w:p w14:paraId="2F4E9DE2">
      <w:pPr>
        <w:spacing w:line="360" w:lineRule="auto"/>
        <w:ind w:firstLine="480" w:firstLineChars="200"/>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val="0"/>
          <w:color w:val="auto"/>
          <w:kern w:val="0"/>
          <w:sz w:val="24"/>
          <w:szCs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350423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kern w:val="0"/>
          <w:sz w:val="24"/>
          <w:szCs w:val="24"/>
          <w:highlight w:val="none"/>
          <w:lang w:val="en-US" w:eastAsia="zh-CN"/>
        </w:rPr>
        <w:t>2.</w:t>
      </w:r>
      <w:r>
        <w:rPr>
          <w:rFonts w:hint="eastAsia" w:ascii="宋体" w:hAnsi="宋体" w:eastAsia="宋体" w:cs="宋体"/>
          <w:color w:val="auto"/>
          <w:sz w:val="24"/>
          <w:szCs w:val="24"/>
          <w:highlight w:val="none"/>
        </w:rPr>
        <w:t>未尽事宜，双方协商解决。在本合同履行过程中将双方达成的书面补充协议是本合同不可分割的组成部分，与本合同具有同等效力。</w:t>
      </w:r>
    </w:p>
    <w:p w14:paraId="6C56E1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.本合同正本一式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份，副本一式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份，均以中文书写，在双方代表签字盖章后生效，甲方执正本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份、副本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份；乙方执正本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份，副本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份；政府采购管理部门备案副本一份，均具有同等法律效力。</w:t>
      </w:r>
    </w:p>
    <w:p w14:paraId="04EEF7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.本合同自双方签字盖章之日起生效，合同执行完毕自动失效（合同的服务承诺长期有效）。</w:t>
      </w:r>
    </w:p>
    <w:p w14:paraId="7D29B49E">
      <w:pPr>
        <w:rPr>
          <w:rFonts w:ascii="Calibri" w:hAnsi="Calibri" w:eastAsia="宋体" w:cs="Times New Roman"/>
        </w:rPr>
      </w:pPr>
    </w:p>
    <w:p w14:paraId="748F9D80">
      <w:pPr>
        <w:rPr>
          <w:rFonts w:ascii="Calibri" w:hAnsi="Calibri" w:eastAsia="宋体" w:cs="Times New Roman"/>
        </w:rPr>
      </w:pPr>
    </w:p>
    <w:p w14:paraId="7227B603">
      <w:pPr>
        <w:rPr>
          <w:rFonts w:ascii="Calibri" w:hAnsi="Calibri" w:eastAsia="宋体" w:cs="Times New Roman"/>
        </w:rPr>
      </w:pPr>
    </w:p>
    <w:p w14:paraId="4BF1268A">
      <w:pPr>
        <w:rPr>
          <w:rFonts w:ascii="Calibri" w:hAnsi="Calibri" w:eastAsia="宋体" w:cs="Times New Roman"/>
        </w:rPr>
      </w:pPr>
    </w:p>
    <w:p w14:paraId="32762EAA">
      <w:pPr>
        <w:rPr>
          <w:rFonts w:ascii="Calibri" w:hAnsi="Calibri" w:eastAsia="宋体" w:cs="Times New Roman"/>
        </w:rPr>
      </w:pPr>
    </w:p>
    <w:p w14:paraId="1F7ADF84">
      <w:pPr>
        <w:rPr>
          <w:rFonts w:ascii="Calibri" w:hAnsi="Calibri" w:eastAsia="宋体" w:cs="Times New Roman"/>
        </w:rPr>
      </w:pPr>
    </w:p>
    <w:p w14:paraId="6ADAF428">
      <w:pPr>
        <w:rPr>
          <w:rFonts w:ascii="Calibri" w:hAnsi="Calibri" w:eastAsia="宋体" w:cs="Times New Roman"/>
        </w:rPr>
      </w:pPr>
    </w:p>
    <w:p w14:paraId="301D044F">
      <w:pPr>
        <w:rPr>
          <w:rFonts w:ascii="Calibri" w:hAnsi="Calibri" w:eastAsia="宋体" w:cs="Times New Roman"/>
        </w:rPr>
      </w:pPr>
    </w:p>
    <w:p w14:paraId="3DE9FF58">
      <w:pPr>
        <w:rPr>
          <w:rFonts w:ascii="Calibri" w:hAnsi="Calibri" w:eastAsia="宋体" w:cs="Times New Roman"/>
        </w:rPr>
      </w:pPr>
    </w:p>
    <w:p w14:paraId="57408F4E">
      <w:pPr>
        <w:rPr>
          <w:rFonts w:ascii="Calibri" w:hAnsi="Calibri" w:eastAsia="宋体" w:cs="Times New Roman"/>
        </w:rPr>
      </w:pPr>
    </w:p>
    <w:p w14:paraId="33FC4FEB">
      <w:pPr>
        <w:rPr>
          <w:rFonts w:ascii="Calibri" w:hAnsi="Calibri" w:eastAsia="宋体" w:cs="Times New Roman"/>
        </w:rPr>
      </w:pPr>
    </w:p>
    <w:p w14:paraId="5715E69B">
      <w:pPr>
        <w:rPr>
          <w:rFonts w:ascii="Calibri" w:hAnsi="Calibri" w:eastAsia="宋体" w:cs="Times New Roman"/>
        </w:rPr>
      </w:pPr>
    </w:p>
    <w:p w14:paraId="2C376E69">
      <w:pPr>
        <w:rPr>
          <w:rFonts w:ascii="Calibri" w:hAnsi="Calibri" w:eastAsia="宋体" w:cs="Times New Roman"/>
        </w:rPr>
      </w:pPr>
    </w:p>
    <w:p w14:paraId="56FE34BE">
      <w:pPr>
        <w:rPr>
          <w:rFonts w:ascii="Calibri" w:hAnsi="Calibri" w:eastAsia="宋体" w:cs="Times New Roman"/>
        </w:rPr>
      </w:pPr>
    </w:p>
    <w:p w14:paraId="63254E97">
      <w:pPr>
        <w:rPr>
          <w:rFonts w:ascii="Calibri" w:hAnsi="Calibri" w:eastAsia="宋体" w:cs="Times New Roman"/>
        </w:rPr>
      </w:pPr>
    </w:p>
    <w:p w14:paraId="6B0F71FA">
      <w:pPr>
        <w:rPr>
          <w:rFonts w:ascii="Calibri" w:hAnsi="Calibri" w:eastAsia="宋体" w:cs="Times New Roman"/>
        </w:rPr>
      </w:pPr>
    </w:p>
    <w:p w14:paraId="061C4B54">
      <w:pPr>
        <w:rPr>
          <w:rFonts w:ascii="Calibri" w:hAnsi="Calibri" w:eastAsia="宋体" w:cs="Times New Roman"/>
        </w:rPr>
      </w:pPr>
    </w:p>
    <w:tbl>
      <w:tblPr>
        <w:tblStyle w:val="3"/>
        <w:tblpPr w:leftFromText="180" w:rightFromText="180" w:vertAnchor="text" w:horzAnchor="page" w:tblpX="1886" w:tblpY="310"/>
        <w:tblOverlap w:val="never"/>
        <w:tblW w:w="0" w:type="auto"/>
        <w:jc w:val="center"/>
        <w:tblLayout w:type="fixed"/>
        <w:tblCellMar>
          <w:top w:w="0" w:type="dxa"/>
          <w:left w:w="108" w:type="dxa"/>
          <w:bottom w:w="0" w:type="dxa"/>
          <w:right w:w="108" w:type="dxa"/>
        </w:tblCellMar>
      </w:tblPr>
      <w:tblGrid>
        <w:gridCol w:w="4201"/>
        <w:gridCol w:w="4202"/>
      </w:tblGrid>
      <w:tr w14:paraId="78499DE5">
        <w:tblPrEx>
          <w:tblCellMar>
            <w:top w:w="0" w:type="dxa"/>
            <w:left w:w="108" w:type="dxa"/>
            <w:bottom w:w="0" w:type="dxa"/>
            <w:right w:w="108" w:type="dxa"/>
          </w:tblCellMar>
        </w:tblPrEx>
        <w:trPr>
          <w:trHeight w:val="484" w:hRule="exact"/>
          <w:jc w:val="center"/>
        </w:trPr>
        <w:tc>
          <w:tcPr>
            <w:tcW w:w="4201" w:type="dxa"/>
            <w:noWrap w:val="0"/>
            <w:vAlign w:val="center"/>
          </w:tcPr>
          <w:p w14:paraId="4910B4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p>
        </w:tc>
        <w:tc>
          <w:tcPr>
            <w:tcW w:w="4202" w:type="dxa"/>
            <w:noWrap w:val="0"/>
            <w:vAlign w:val="center"/>
          </w:tcPr>
          <w:p w14:paraId="7133A54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p>
        </w:tc>
      </w:tr>
      <w:tr w14:paraId="0AC49391">
        <w:tblPrEx>
          <w:tblCellMar>
            <w:top w:w="0" w:type="dxa"/>
            <w:left w:w="108" w:type="dxa"/>
            <w:bottom w:w="0" w:type="dxa"/>
            <w:right w:w="108" w:type="dxa"/>
          </w:tblCellMar>
        </w:tblPrEx>
        <w:trPr>
          <w:trHeight w:val="467" w:hRule="exact"/>
          <w:jc w:val="center"/>
        </w:trPr>
        <w:tc>
          <w:tcPr>
            <w:tcW w:w="4201" w:type="dxa"/>
            <w:noWrap w:val="0"/>
            <w:vAlign w:val="center"/>
          </w:tcPr>
          <w:p w14:paraId="4A9ABA9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43B74E7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724006BF">
        <w:tblPrEx>
          <w:tblCellMar>
            <w:top w:w="0" w:type="dxa"/>
            <w:left w:w="108" w:type="dxa"/>
            <w:bottom w:w="0" w:type="dxa"/>
            <w:right w:w="108" w:type="dxa"/>
          </w:tblCellMar>
        </w:tblPrEx>
        <w:trPr>
          <w:trHeight w:val="501" w:hRule="exact"/>
          <w:jc w:val="center"/>
        </w:trPr>
        <w:tc>
          <w:tcPr>
            <w:tcW w:w="4201" w:type="dxa"/>
            <w:noWrap w:val="0"/>
            <w:vAlign w:val="center"/>
          </w:tcPr>
          <w:p w14:paraId="694207C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202" w:type="dxa"/>
            <w:noWrap w:val="0"/>
            <w:vAlign w:val="center"/>
          </w:tcPr>
          <w:p w14:paraId="448AA72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0D8FA6F4">
        <w:tblPrEx>
          <w:tblCellMar>
            <w:top w:w="0" w:type="dxa"/>
            <w:left w:w="108" w:type="dxa"/>
            <w:bottom w:w="0" w:type="dxa"/>
            <w:right w:w="108" w:type="dxa"/>
          </w:tblCellMar>
        </w:tblPrEx>
        <w:trPr>
          <w:trHeight w:val="450" w:hRule="exact"/>
          <w:jc w:val="center"/>
        </w:trPr>
        <w:tc>
          <w:tcPr>
            <w:tcW w:w="4201" w:type="dxa"/>
            <w:noWrap w:val="0"/>
            <w:vAlign w:val="center"/>
          </w:tcPr>
          <w:p w14:paraId="3A6465F1">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4D97F74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23A530F0">
        <w:tblPrEx>
          <w:tblCellMar>
            <w:top w:w="0" w:type="dxa"/>
            <w:left w:w="108" w:type="dxa"/>
            <w:bottom w:w="0" w:type="dxa"/>
            <w:right w:w="108" w:type="dxa"/>
          </w:tblCellMar>
        </w:tblPrEx>
        <w:trPr>
          <w:trHeight w:val="533" w:hRule="exact"/>
          <w:jc w:val="center"/>
        </w:trPr>
        <w:tc>
          <w:tcPr>
            <w:tcW w:w="4201" w:type="dxa"/>
            <w:noWrap w:val="0"/>
            <w:vAlign w:val="center"/>
          </w:tcPr>
          <w:p w14:paraId="0F5CF38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202" w:type="dxa"/>
            <w:noWrap w:val="0"/>
            <w:vAlign w:val="center"/>
          </w:tcPr>
          <w:p w14:paraId="418A185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24A8FE8B">
        <w:tblPrEx>
          <w:tblCellMar>
            <w:top w:w="0" w:type="dxa"/>
            <w:left w:w="108" w:type="dxa"/>
            <w:bottom w:w="0" w:type="dxa"/>
            <w:right w:w="108" w:type="dxa"/>
          </w:tblCellMar>
        </w:tblPrEx>
        <w:trPr>
          <w:trHeight w:val="533" w:hRule="exact"/>
          <w:jc w:val="center"/>
        </w:trPr>
        <w:tc>
          <w:tcPr>
            <w:tcW w:w="4201" w:type="dxa"/>
            <w:noWrap w:val="0"/>
            <w:vAlign w:val="center"/>
          </w:tcPr>
          <w:p w14:paraId="02CD956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tc>
        <w:tc>
          <w:tcPr>
            <w:tcW w:w="4202" w:type="dxa"/>
            <w:noWrap w:val="0"/>
            <w:vAlign w:val="center"/>
          </w:tcPr>
          <w:p w14:paraId="42C5AA2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tc>
      </w:tr>
      <w:tr w14:paraId="5B31E688">
        <w:tblPrEx>
          <w:tblCellMar>
            <w:top w:w="0" w:type="dxa"/>
            <w:left w:w="108" w:type="dxa"/>
            <w:bottom w:w="0" w:type="dxa"/>
            <w:right w:w="108" w:type="dxa"/>
          </w:tblCellMar>
        </w:tblPrEx>
        <w:trPr>
          <w:trHeight w:val="500" w:hRule="exact"/>
          <w:jc w:val="center"/>
        </w:trPr>
        <w:tc>
          <w:tcPr>
            <w:tcW w:w="4201" w:type="dxa"/>
            <w:noWrap w:val="0"/>
            <w:vAlign w:val="center"/>
          </w:tcPr>
          <w:p w14:paraId="02D51CC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099088E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6B737CC4">
        <w:tblPrEx>
          <w:tblCellMar>
            <w:top w:w="0" w:type="dxa"/>
            <w:left w:w="108" w:type="dxa"/>
            <w:bottom w:w="0" w:type="dxa"/>
            <w:right w:w="108" w:type="dxa"/>
          </w:tblCellMar>
        </w:tblPrEx>
        <w:trPr>
          <w:trHeight w:val="467" w:hRule="exact"/>
          <w:jc w:val="center"/>
        </w:trPr>
        <w:tc>
          <w:tcPr>
            <w:tcW w:w="4201" w:type="dxa"/>
            <w:noWrap w:val="0"/>
            <w:vAlign w:val="center"/>
          </w:tcPr>
          <w:p w14:paraId="0B7FA68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48AC918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9D3F987">
        <w:tblPrEx>
          <w:tblCellMar>
            <w:top w:w="0" w:type="dxa"/>
            <w:left w:w="108" w:type="dxa"/>
            <w:bottom w:w="0" w:type="dxa"/>
            <w:right w:w="108" w:type="dxa"/>
          </w:tblCellMar>
        </w:tblPrEx>
        <w:trPr>
          <w:trHeight w:val="567" w:hRule="exact"/>
          <w:jc w:val="center"/>
        </w:trPr>
        <w:tc>
          <w:tcPr>
            <w:tcW w:w="4201" w:type="dxa"/>
            <w:noWrap w:val="0"/>
            <w:vAlign w:val="center"/>
          </w:tcPr>
          <w:p w14:paraId="1416CB0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47BEE17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07F1521C">
        <w:tblPrEx>
          <w:tblCellMar>
            <w:top w:w="0" w:type="dxa"/>
            <w:left w:w="108" w:type="dxa"/>
            <w:bottom w:w="0" w:type="dxa"/>
            <w:right w:w="108" w:type="dxa"/>
          </w:tblCellMar>
        </w:tblPrEx>
        <w:trPr>
          <w:trHeight w:val="567" w:hRule="exact"/>
          <w:jc w:val="center"/>
        </w:trPr>
        <w:tc>
          <w:tcPr>
            <w:tcW w:w="4201" w:type="dxa"/>
            <w:noWrap w:val="0"/>
            <w:vAlign w:val="center"/>
          </w:tcPr>
          <w:p w14:paraId="5B5D2D0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661AEC7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6531AB2D">
      <w:pPr>
        <w:rPr>
          <w:rFonts w:hint="eastAsia" w:ascii="仿宋" w:hAnsi="仿宋" w:eastAsia="仿宋" w:cs="仿宋"/>
          <w:highlight w:val="none"/>
          <w:lang w:val="en-US" w:eastAsia="zh-CN"/>
        </w:rPr>
      </w:pPr>
    </w:p>
    <w:p w14:paraId="01D9D961">
      <w:pPr>
        <w:numPr>
          <w:ilvl w:val="0"/>
          <w:numId w:val="0"/>
        </w:numPr>
        <w:jc w:val="both"/>
        <w:outlineLvl w:val="1"/>
        <w:rPr>
          <w:rFonts w:hint="eastAsia" w:ascii="仿宋_GB2312" w:hAnsi="仿宋_GB2312" w:eastAsia="仿宋_GB2312" w:cs="仿宋_GB2312"/>
          <w:b/>
          <w:sz w:val="36"/>
          <w:lang w:val="en-US" w:eastAsia="zh-Hans"/>
        </w:rPr>
      </w:pPr>
    </w:p>
    <w:p w14:paraId="327C4708">
      <w:pPr>
        <w:rPr>
          <w:rFonts w:hint="eastAsia" w:ascii="仿宋" w:hAnsi="仿宋" w:eastAsia="仿宋" w:cs="仿宋"/>
          <w:lang w:val="en-US" w:eastAsia="zh-CN"/>
        </w:rPr>
      </w:pPr>
    </w:p>
    <w:p w14:paraId="1F5A22D4"/>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42" wne:mask="1"/>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D5143E"/>
    <w:rsid w:val="09884131"/>
    <w:rsid w:val="1634517A"/>
    <w:rsid w:val="1F8E2953"/>
    <w:rsid w:val="238C0BD7"/>
    <w:rsid w:val="25043CC9"/>
    <w:rsid w:val="39D4079B"/>
    <w:rsid w:val="4F6263AC"/>
    <w:rsid w:val="5691251E"/>
    <w:rsid w:val="5BA61DC5"/>
    <w:rsid w:val="627C4C22"/>
    <w:rsid w:val="773B2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styleId="6">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microsoft.com/office/2006/relationships/keyMapCustomizations" Target="customizations.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3754</Words>
  <Characters>3835</Characters>
  <Lines>0</Lines>
  <Paragraphs>0</Paragraphs>
  <TotalTime>3</TotalTime>
  <ScaleCrop>false</ScaleCrop>
  <LinksUpToDate>false</LinksUpToDate>
  <CharactersWithSpaces>3893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2024-05-06T01:01:00Z</dcterms:created>
  <dc:creator>A</dc:creator>
  <cp:lastModifiedBy>风语者</cp:lastModifiedBy>
  <dcterms:modified xsi:type="dcterms:W3CDTF">2025-05-16T03:36:08Z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E581D0155220480694A97DFFA24D4313_13</vt:lpwstr>
  </property>
  <property fmtid="{D5CDD505-2E9C-101B-9397-08002B2CF9AE}" pid="4" name="KSOTemplateDocerSaveRecord">
    <vt:lpwstr>eyJoZGlkIjoiYjhjMjM1NTY3MTdkMTZiZmM3ZDQyZjIyZmQ5Njk3MzgiLCJ1c2VySWQiOiIzMTY0NjI2NTgifQ==</vt:lpwstr>
  </property>
</Properties>
</file>