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版本号：KY2025-3-12420250612001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安全保卫部基础设施改造项目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KY2025-3-124</w:t>
      </w:r>
      <w:r>
        <w:br/>
      </w:r>
      <w:r>
        <w:br/>
      </w:r>
      <w:r>
        <w:br/>
      </w:r>
    </w:p>
    <w:p>
      <w:pPr>
        <w:pStyle w:val="null3"/>
        <w:jc w:val="center"/>
        <w:outlineLvl w:val="2"/>
      </w:pPr>
      <w:r>
        <w:rPr>
          <w:rFonts w:ascii="仿宋_GB2312" w:hAnsi="仿宋_GB2312" w:cs="仿宋_GB2312" w:eastAsia="仿宋_GB2312"/>
          <w:sz w:val="28"/>
          <w:b/>
        </w:rPr>
        <w:t>秦始皇帝陵博物院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秦始皇帝陵博物院</w:t>
      </w:r>
      <w:r>
        <w:rPr>
          <w:rFonts w:ascii="仿宋_GB2312" w:hAnsi="仿宋_GB2312" w:cs="仿宋_GB2312" w:eastAsia="仿宋_GB2312"/>
        </w:rPr>
        <w:t>委托，拟对</w:t>
      </w:r>
      <w:r>
        <w:rPr>
          <w:rFonts w:ascii="仿宋_GB2312" w:hAnsi="仿宋_GB2312" w:cs="仿宋_GB2312" w:eastAsia="仿宋_GB2312"/>
        </w:rPr>
        <w:t>安全保卫部基础设施改造项目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安全保卫部基础设施改造项目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始皇帝陵博物院安全保卫部基础设施改造项目，本工程包括：秦始皇帝陵博物院安全保卫部7处基础设施改造，防水、地面、卫生间、公共区域营房等。具体以工程量清单为准，简要技术要求、用途：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采购包1（安全保卫部基础设施改造项目）：属于专门面向中小企业采购。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8、法定代表人授权书：法定代表人授权书及被授权人身份证复印件。（法定代表人直接磋商只须提交法定代表人身份证明书）</w:t>
      </w:r>
    </w:p>
    <w:p>
      <w:pPr>
        <w:pStyle w:val="null3"/>
      </w:pPr>
      <w:r>
        <w:rPr>
          <w:rFonts w:ascii="仿宋_GB2312" w:hAnsi="仿宋_GB2312" w:cs="仿宋_GB2312" w:eastAsia="仿宋_GB2312"/>
        </w:rPr>
        <w:t>9、供应商资质要求：供应商具备有效的建筑工程施工总承包三级以上（含三级）资质或建筑装修装饰工程专业承包二级以上（含二级）资质</w:t>
      </w:r>
    </w:p>
    <w:p>
      <w:pPr>
        <w:pStyle w:val="null3"/>
      </w:pPr>
      <w:r>
        <w:rPr>
          <w:rFonts w:ascii="仿宋_GB2312" w:hAnsi="仿宋_GB2312" w:cs="仿宋_GB2312" w:eastAsia="仿宋_GB2312"/>
        </w:rPr>
        <w:t>10、安全生产许可证：供应商具备有效的安全生产许可证</w:t>
      </w:r>
    </w:p>
    <w:p>
      <w:pPr>
        <w:pStyle w:val="null3"/>
      </w:pPr>
      <w:r>
        <w:rPr>
          <w:rFonts w:ascii="仿宋_GB2312" w:hAnsi="仿宋_GB2312" w:cs="仿宋_GB2312" w:eastAsia="仿宋_GB2312"/>
        </w:rPr>
        <w:t>11、拟派项目经理资质要求：拟派项目经理具备建筑工程专业二级及以上注册建造师执业资格且在本单位注册，具有有效的安全生产考核合格证，且未担任其他在建工程项目的项目经理（提供无在建承诺书）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12、不良记录查询：供应商及项目经理须在“陕西省勘察设计行业管理平台（http://js.shaanxi.gov.cn/）”可查询且无不良记录</w:t>
      </w:r>
    </w:p>
    <w:p>
      <w:pPr>
        <w:pStyle w:val="null3"/>
      </w:pPr>
      <w:r>
        <w:rPr>
          <w:rFonts w:ascii="仿宋_GB2312" w:hAnsi="仿宋_GB2312" w:cs="仿宋_GB2312" w:eastAsia="仿宋_GB2312"/>
        </w:rPr>
        <w:t>13、提供中小企业声明函：提供中小企业声明函。（本项目为专门面向中、小、微型企业采购项目）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秦始皇帝陵博物院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西安市临潼区秦陵街办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029-81399188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成交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踏勘时间：2025-06-25 10:00:00</w:t>
            </w:r>
          </w:p>
          <w:p>
            <w:pPr>
              <w:pStyle w:val="null3"/>
              <w:ind w:firstLine="975"/>
            </w:pPr>
            <w:r>
              <w:rPr>
                <w:rFonts w:ascii="仿宋_GB2312" w:hAnsi="仿宋_GB2312" w:cs="仿宋_GB2312" w:eastAsia="仿宋_GB2312"/>
              </w:rPr>
              <w:t>踏勘地点：秦始皇帝陵博物院西门【注：因踏勘位置特殊，参与本次踏勘的供应商须在踏勘前一个工作日将踏勘参与人的姓名、身份证号码、联系方式发送至2692780587@qq.com邮箱，若未发送信息或信息缺项，会导致无法入场，供应商自行承担责任。（每家供应商限1人参与）】</w:t>
            </w:r>
          </w:p>
          <w:p>
            <w:pPr>
              <w:pStyle w:val="null3"/>
              <w:ind w:firstLine="975"/>
            </w:pPr>
            <w:r>
              <w:rPr>
                <w:rFonts w:ascii="仿宋_GB2312" w:hAnsi="仿宋_GB2312" w:cs="仿宋_GB2312" w:eastAsia="仿宋_GB2312"/>
              </w:rPr>
              <w:t>联系人：徐闫靖双</w:t>
            </w:r>
          </w:p>
          <w:p>
            <w:pPr>
              <w:pStyle w:val="null3"/>
              <w:ind w:firstLine="975"/>
            </w:pPr>
            <w:r>
              <w:rPr>
                <w:rFonts w:ascii="仿宋_GB2312" w:hAnsi="仿宋_GB2312" w:cs="仿宋_GB2312" w:eastAsia="仿宋_GB2312"/>
              </w:rPr>
              <w:t>联系电话号码：029-81206622-841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秦始皇帝陵博物院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秦始皇帝陵博物院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秦始皇帝陵博物院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联系人：徐闫靖双、李瑞洁、戈迪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安全保卫部基础设施改造采购</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标的名称：安全保卫部基础设施改造采购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1、本工程建设地点位于西安市临潼区秦始皇帝陵博物院内，工程内容包括安全保卫部北大门文保中队、特勤中队、办公区、丽山园工作区、丽山园南区、民警办公区等单体内局部房间内装及卫生间淋浴间、屋面防水改造，具体以工程量清单为准。</w:t>
            </w:r>
          </w:p>
          <w:p>
            <w:pPr>
              <w:pStyle w:val="null3"/>
            </w:pPr>
            <w:r>
              <w:rPr>
                <w:rFonts w:ascii="仿宋_GB2312" w:hAnsi="仿宋_GB2312" w:cs="仿宋_GB2312" w:eastAsia="仿宋_GB2312"/>
                <w:sz w:val="21"/>
              </w:rPr>
              <w:t xml:space="preserve">    2、技术要求：</w:t>
            </w:r>
          </w:p>
          <w:p>
            <w:pPr>
              <w:pStyle w:val="null3"/>
            </w:pPr>
            <w:r>
              <w:rPr>
                <w:rFonts w:ascii="仿宋_GB2312" w:hAnsi="仿宋_GB2312" w:cs="仿宋_GB2312" w:eastAsia="仿宋_GB2312"/>
                <w:sz w:val="21"/>
              </w:rPr>
              <w:t>文物保护要求：施工过程中不得影响博物院正常开放及文物安全，需分阶段作业，设置临时防护措施（如围挡、防尘设施）。</w:t>
            </w:r>
          </w:p>
          <w:p>
            <w:pPr>
              <w:pStyle w:val="null3"/>
            </w:pPr>
            <w:r>
              <w:rPr>
                <w:rFonts w:ascii="仿宋_GB2312" w:hAnsi="仿宋_GB2312" w:cs="仿宋_GB2312" w:eastAsia="仿宋_GB2312"/>
                <w:sz w:val="21"/>
              </w:rPr>
              <w:t>环保要求：采用低噪音、低粉尘工艺，施工垃圾当日清运，严禁现场堆放。</w:t>
            </w:r>
          </w:p>
          <w:p>
            <w:pPr>
              <w:pStyle w:val="null3"/>
            </w:pPr>
            <w:r>
              <w:rPr>
                <w:rFonts w:ascii="仿宋_GB2312" w:hAnsi="仿宋_GB2312" w:cs="仿宋_GB2312" w:eastAsia="仿宋_GB2312"/>
                <w:sz w:val="21"/>
              </w:rPr>
              <w:t>隐蔽工程管理：管线敷设、电气线路改造等隐蔽工程需留存影像资料，并报采购方验收合格后方可覆盖。</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二、编制范围</w:t>
            </w:r>
          </w:p>
          <w:p>
            <w:pPr>
              <w:pStyle w:val="null3"/>
            </w:pPr>
            <w:r>
              <w:rPr>
                <w:rFonts w:ascii="仿宋_GB2312" w:hAnsi="仿宋_GB2312" w:cs="仿宋_GB2312" w:eastAsia="仿宋_GB2312"/>
                <w:sz w:val="21"/>
              </w:rPr>
              <w:t xml:space="preserve">   秦始皇帝陵博物院安全保卫部改造范围：室内装饰装修工程，屋面防水工程，水电安装工程。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三、编制依据</w:t>
            </w:r>
          </w:p>
          <w:p>
            <w:pPr>
              <w:pStyle w:val="null3"/>
            </w:pPr>
            <w:r>
              <w:rPr>
                <w:rFonts w:ascii="仿宋_GB2312" w:hAnsi="仿宋_GB2312" w:cs="仿宋_GB2312" w:eastAsia="仿宋_GB2312"/>
                <w:sz w:val="21"/>
              </w:rPr>
              <w:t>1、《2009陕西省建设工程工程量清单计价规则》（以下简称计价规则），《陕西省建设工程工程量计价费率》（2009）及其他相关文件；</w:t>
            </w:r>
          </w:p>
          <w:p>
            <w:pPr>
              <w:pStyle w:val="null3"/>
            </w:pPr>
            <w:r>
              <w:rPr>
                <w:rFonts w:ascii="仿宋_GB2312" w:hAnsi="仿宋_GB2312" w:cs="仿宋_GB2312" w:eastAsia="仿宋_GB2312"/>
                <w:sz w:val="21"/>
              </w:rPr>
              <w:t>2、北大门U型民警宿舍、北大门民警房、公安科办公楼、丽山园南区卫生间原始图纸；六栋单体改造工程量清单；</w:t>
            </w:r>
          </w:p>
          <w:p>
            <w:pPr>
              <w:pStyle w:val="null3"/>
            </w:pPr>
            <w:r>
              <w:rPr>
                <w:rFonts w:ascii="仿宋_GB2312" w:hAnsi="仿宋_GB2312" w:cs="仿宋_GB2312" w:eastAsia="仿宋_GB2312"/>
                <w:sz w:val="21"/>
              </w:rPr>
              <w:t>3、正常施工组织设计及施工方法；</w:t>
            </w:r>
          </w:p>
          <w:p>
            <w:pPr>
              <w:pStyle w:val="null3"/>
            </w:pPr>
            <w:r>
              <w:rPr>
                <w:rFonts w:ascii="仿宋_GB2312" w:hAnsi="仿宋_GB2312" w:cs="仿宋_GB2312" w:eastAsia="仿宋_GB2312"/>
                <w:sz w:val="21"/>
              </w:rPr>
              <w:t>4、本项目使用广联达云计价平台GCCP6.0版本号6.4100.23.122。</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四、有关说明</w:t>
            </w:r>
          </w:p>
          <w:p>
            <w:pPr>
              <w:pStyle w:val="null3"/>
            </w:pPr>
            <w:r>
              <w:rPr>
                <w:rFonts w:ascii="仿宋_GB2312" w:hAnsi="仿宋_GB2312" w:cs="仿宋_GB2312" w:eastAsia="仿宋_GB2312"/>
                <w:sz w:val="21"/>
              </w:rPr>
              <w:t>1、本工程改造内容及范围由建设单位确定，工程量依据原始建设图纸与现场情况计取，建筑做法参考常规做法考虑。</w:t>
            </w:r>
          </w:p>
          <w:p>
            <w:pPr>
              <w:pStyle w:val="null3"/>
            </w:pPr>
            <w:r>
              <w:rPr>
                <w:rFonts w:ascii="仿宋_GB2312" w:hAnsi="仿宋_GB2312" w:cs="仿宋_GB2312" w:eastAsia="仿宋_GB2312"/>
                <w:sz w:val="21"/>
              </w:rPr>
              <w:t>2、各单体暖气片只计取拆除及安装费，主材利旧；</w:t>
            </w:r>
          </w:p>
          <w:p>
            <w:pPr>
              <w:pStyle w:val="null3"/>
            </w:pPr>
            <w:r>
              <w:rPr>
                <w:rFonts w:ascii="仿宋_GB2312" w:hAnsi="仿宋_GB2312" w:cs="仿宋_GB2312" w:eastAsia="仿宋_GB2312"/>
                <w:sz w:val="21"/>
              </w:rPr>
              <w:t>3、本工程暂列金150000元。</w:t>
            </w:r>
          </w:p>
          <w:p>
            <w:pPr>
              <w:pStyle w:val="null3"/>
            </w:pPr>
            <w:r>
              <w:rPr>
                <w:rFonts w:ascii="仿宋_GB2312" w:hAnsi="仿宋_GB2312" w:cs="仿宋_GB2312" w:eastAsia="仿宋_GB2312"/>
                <w:sz w:val="21"/>
              </w:rPr>
              <w:t>4、详细规划与时间管理：</w:t>
            </w:r>
          </w:p>
          <w:p>
            <w:pPr>
              <w:pStyle w:val="null3"/>
            </w:pPr>
            <w:r>
              <w:rPr>
                <w:rFonts w:ascii="仿宋_GB2312" w:hAnsi="仿宋_GB2312" w:cs="仿宋_GB2312" w:eastAsia="仿宋_GB2312"/>
                <w:sz w:val="21"/>
              </w:rPr>
              <w:t>制定详细的施工计划，包括具体的施工步骤、时间表和资源分配。</w:t>
            </w:r>
          </w:p>
          <w:p>
            <w:pPr>
              <w:pStyle w:val="null3"/>
            </w:pPr>
            <w:r>
              <w:rPr>
                <w:rFonts w:ascii="仿宋_GB2312" w:hAnsi="仿宋_GB2312" w:cs="仿宋_GB2312" w:eastAsia="仿宋_GB2312"/>
                <w:sz w:val="21"/>
              </w:rPr>
              <w:t>尽可能将施工活动安排在景区的低峰时段，以减少对游客的影响。</w:t>
            </w:r>
          </w:p>
          <w:p>
            <w:pPr>
              <w:pStyle w:val="null3"/>
            </w:pPr>
            <w:r>
              <w:rPr>
                <w:rFonts w:ascii="仿宋_GB2312" w:hAnsi="仿宋_GB2312" w:cs="仿宋_GB2312" w:eastAsia="仿宋_GB2312"/>
                <w:sz w:val="21"/>
              </w:rPr>
              <w:t>设立明确的项目里程碑和截止日期，以确保施工按时完成。</w:t>
            </w:r>
          </w:p>
          <w:p>
            <w:pPr>
              <w:pStyle w:val="null3"/>
            </w:pPr>
            <w:r>
              <w:rPr>
                <w:rFonts w:ascii="仿宋_GB2312" w:hAnsi="仿宋_GB2312" w:cs="仿宋_GB2312" w:eastAsia="仿宋_GB2312"/>
                <w:sz w:val="21"/>
              </w:rPr>
              <w:t>5、分区施工：</w:t>
            </w:r>
          </w:p>
          <w:p>
            <w:pPr>
              <w:pStyle w:val="null3"/>
            </w:pPr>
            <w:r>
              <w:rPr>
                <w:rFonts w:ascii="仿宋_GB2312" w:hAnsi="仿宋_GB2312" w:cs="仿宋_GB2312" w:eastAsia="仿宋_GB2312"/>
                <w:sz w:val="21"/>
              </w:rPr>
              <w:t>将景区划分为不同的施工区域和非施工区域，确保游客能够安全、顺畅地游览非施工区域。</w:t>
            </w:r>
          </w:p>
          <w:p>
            <w:pPr>
              <w:pStyle w:val="null3"/>
            </w:pPr>
            <w:r>
              <w:rPr>
                <w:rFonts w:ascii="仿宋_GB2312" w:hAnsi="仿宋_GB2312" w:cs="仿宋_GB2312" w:eastAsia="仿宋_GB2312"/>
                <w:sz w:val="21"/>
              </w:rPr>
              <w:t>在施工区域周围设置明显的警示标志和围挡，以确保游客的安全。</w:t>
            </w:r>
          </w:p>
          <w:p>
            <w:pPr>
              <w:pStyle w:val="null3"/>
            </w:pPr>
            <w:r>
              <w:rPr>
                <w:rFonts w:ascii="仿宋_GB2312" w:hAnsi="仿宋_GB2312" w:cs="仿宋_GB2312" w:eastAsia="仿宋_GB2312"/>
                <w:sz w:val="21"/>
              </w:rPr>
              <w:t>6、交通与流线优化：</w:t>
            </w:r>
          </w:p>
          <w:p>
            <w:pPr>
              <w:pStyle w:val="null3"/>
            </w:pPr>
            <w:r>
              <w:rPr>
                <w:rFonts w:ascii="仿宋_GB2312" w:hAnsi="仿宋_GB2312" w:cs="仿宋_GB2312" w:eastAsia="仿宋_GB2312"/>
                <w:sz w:val="21"/>
              </w:rPr>
              <w:t>重新规划景区内的交通流线，以绕过施工区域或提供替代路线。</w:t>
            </w:r>
          </w:p>
          <w:p>
            <w:pPr>
              <w:pStyle w:val="null3"/>
            </w:pPr>
            <w:r>
              <w:rPr>
                <w:rFonts w:ascii="仿宋_GB2312" w:hAnsi="仿宋_GB2312" w:cs="仿宋_GB2312" w:eastAsia="仿宋_GB2312"/>
                <w:sz w:val="21"/>
              </w:rPr>
              <w:t>设置清晰的指示标志，引导游客避开施工区域。</w:t>
            </w:r>
          </w:p>
          <w:p>
            <w:pPr>
              <w:pStyle w:val="null3"/>
            </w:pPr>
            <w:r>
              <w:rPr>
                <w:rFonts w:ascii="仿宋_GB2312" w:hAnsi="仿宋_GB2312" w:cs="仿宋_GB2312" w:eastAsia="仿宋_GB2312"/>
                <w:sz w:val="21"/>
              </w:rPr>
              <w:t>7、噪音与污染控制：</w:t>
            </w:r>
          </w:p>
          <w:p>
            <w:pPr>
              <w:pStyle w:val="null3"/>
            </w:pPr>
            <w:r>
              <w:rPr>
                <w:rFonts w:ascii="仿宋_GB2312" w:hAnsi="仿宋_GB2312" w:cs="仿宋_GB2312" w:eastAsia="仿宋_GB2312"/>
                <w:sz w:val="21"/>
              </w:rPr>
              <w:t>采取有效措施减少施工噪音，如使用低噪音设备、限制高噪音作业的时间等。</w:t>
            </w:r>
          </w:p>
          <w:p>
            <w:pPr>
              <w:pStyle w:val="null3"/>
            </w:pPr>
            <w:r>
              <w:rPr>
                <w:rFonts w:ascii="仿宋_GB2312" w:hAnsi="仿宋_GB2312" w:cs="仿宋_GB2312" w:eastAsia="仿宋_GB2312"/>
                <w:sz w:val="21"/>
              </w:rPr>
              <w:t>控制施工产生的粉尘、废水等污染物，确保景区环境整洁。</w:t>
            </w:r>
          </w:p>
          <w:p>
            <w:pPr>
              <w:pStyle w:val="null3"/>
            </w:pPr>
            <w:r>
              <w:rPr>
                <w:rFonts w:ascii="仿宋_GB2312" w:hAnsi="仿宋_GB2312" w:cs="仿宋_GB2312" w:eastAsia="仿宋_GB2312"/>
                <w:sz w:val="21"/>
              </w:rPr>
              <w:t>8、沟通与协调：</w:t>
            </w:r>
          </w:p>
          <w:p>
            <w:pPr>
              <w:pStyle w:val="null3"/>
            </w:pPr>
            <w:r>
              <w:rPr>
                <w:rFonts w:ascii="仿宋_GB2312" w:hAnsi="仿宋_GB2312" w:cs="仿宋_GB2312" w:eastAsia="仿宋_GB2312"/>
                <w:sz w:val="21"/>
              </w:rPr>
              <w:t>与管理部门保持密切沟通，及时了解游客需求和反馈。</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商务要求：</w:t>
            </w:r>
          </w:p>
          <w:p>
            <w:pPr>
              <w:pStyle w:val="null3"/>
            </w:pPr>
            <w:r>
              <w:rPr>
                <w:rFonts w:ascii="仿宋_GB2312" w:hAnsi="仿宋_GB2312" w:cs="仿宋_GB2312" w:eastAsia="仿宋_GB2312"/>
                <w:sz w:val="24"/>
              </w:rPr>
              <w:t>1、结算要求：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1）付款单位：由采购人负责结算，在付款前，必须开具等额发票给采购人。</w:t>
            </w:r>
          </w:p>
          <w:p>
            <w:pPr>
              <w:pStyle w:val="null3"/>
            </w:pPr>
            <w:r>
              <w:rPr>
                <w:rFonts w:ascii="仿宋_GB2312" w:hAnsi="仿宋_GB2312" w:cs="仿宋_GB2312" w:eastAsia="仿宋_GB2312"/>
                <w:sz w:val="24"/>
              </w:rPr>
              <w:t>（</w:t>
            </w:r>
            <w:r>
              <w:rPr>
                <w:rFonts w:ascii="仿宋_GB2312" w:hAnsi="仿宋_GB2312" w:cs="仿宋_GB2312" w:eastAsia="仿宋_GB2312"/>
                <w:sz w:val="24"/>
              </w:rPr>
              <w:t>2）付款方式：</w:t>
            </w:r>
            <w:r>
              <w:rPr>
                <w:rFonts w:ascii="仿宋_GB2312" w:hAnsi="仿宋_GB2312" w:cs="仿宋_GB2312" w:eastAsia="仿宋_GB2312"/>
                <w:sz w:val="24"/>
              </w:rPr>
              <w:t>供应商</w:t>
            </w:r>
            <w:r>
              <w:rPr>
                <w:rFonts w:ascii="仿宋_GB2312" w:hAnsi="仿宋_GB2312" w:cs="仿宋_GB2312" w:eastAsia="仿宋_GB2312"/>
                <w:sz w:val="24"/>
              </w:rPr>
              <w:t>进场</w:t>
            </w:r>
            <w:r>
              <w:rPr>
                <w:rFonts w:ascii="仿宋_GB2312" w:hAnsi="仿宋_GB2312" w:cs="仿宋_GB2312" w:eastAsia="仿宋_GB2312"/>
                <w:sz w:val="24"/>
              </w:rPr>
              <w:t>后，达到付款条件起</w:t>
            </w:r>
            <w:r>
              <w:rPr>
                <w:rFonts w:ascii="仿宋_GB2312" w:hAnsi="仿宋_GB2312" w:cs="仿宋_GB2312" w:eastAsia="仿宋_GB2312"/>
                <w:sz w:val="24"/>
              </w:rPr>
              <w:t>30日，支付合同总金额的40%；项目</w:t>
            </w:r>
            <w:r>
              <w:rPr>
                <w:rFonts w:ascii="仿宋_GB2312" w:hAnsi="仿宋_GB2312" w:cs="仿宋_GB2312" w:eastAsia="仿宋_GB2312"/>
                <w:sz w:val="24"/>
              </w:rPr>
              <w:t>完工后</w:t>
            </w:r>
            <w:r>
              <w:rPr>
                <w:rFonts w:ascii="仿宋_GB2312" w:hAnsi="仿宋_GB2312" w:cs="仿宋_GB2312" w:eastAsia="仿宋_GB2312"/>
                <w:sz w:val="24"/>
              </w:rPr>
              <w:t>，达到付款条件起</w:t>
            </w:r>
            <w:r>
              <w:rPr>
                <w:rFonts w:ascii="仿宋_GB2312" w:hAnsi="仿宋_GB2312" w:cs="仿宋_GB2312" w:eastAsia="仿宋_GB2312"/>
                <w:sz w:val="24"/>
              </w:rPr>
              <w:t>30日，支付合同总金额的40%；</w:t>
            </w:r>
            <w:r>
              <w:rPr>
                <w:rFonts w:ascii="仿宋_GB2312" w:hAnsi="仿宋_GB2312" w:cs="仿宋_GB2312" w:eastAsia="仿宋_GB2312"/>
                <w:sz w:val="24"/>
              </w:rPr>
              <w:t>提交竣工结算报告并通过审计部门审核后</w:t>
            </w:r>
            <w:r>
              <w:rPr>
                <w:rFonts w:ascii="仿宋_GB2312" w:hAnsi="仿宋_GB2312" w:cs="仿宋_GB2312" w:eastAsia="仿宋_GB2312"/>
                <w:sz w:val="24"/>
              </w:rPr>
              <w:t>，达到付款条件起</w:t>
            </w:r>
            <w:r>
              <w:rPr>
                <w:rFonts w:ascii="仿宋_GB2312" w:hAnsi="仿宋_GB2312" w:cs="仿宋_GB2312" w:eastAsia="仿宋_GB2312"/>
                <w:sz w:val="24"/>
              </w:rPr>
              <w:t>30日，支付合同总金额的17%；质保期满后，达到付款条件起30日，支付合同总金额的3%</w:t>
            </w:r>
            <w:r>
              <w:rPr>
                <w:rFonts w:ascii="仿宋_GB2312" w:hAnsi="仿宋_GB2312" w:cs="仿宋_GB2312" w:eastAsia="仿宋_GB2312"/>
                <w:sz w:val="24"/>
              </w:rPr>
              <w:t>。</w:t>
            </w:r>
          </w:p>
          <w:p>
            <w:pPr>
              <w:pStyle w:val="null3"/>
            </w:pPr>
            <w:r>
              <w:rPr>
                <w:rFonts w:ascii="仿宋_GB2312" w:hAnsi="仿宋_GB2312" w:cs="仿宋_GB2312" w:eastAsia="仿宋_GB2312"/>
                <w:sz w:val="24"/>
              </w:rPr>
              <w:t>2、工期要求：</w:t>
            </w:r>
            <w:r>
              <w:rPr>
                <w:rFonts w:ascii="仿宋_GB2312" w:hAnsi="仿宋_GB2312" w:cs="仿宋_GB2312" w:eastAsia="仿宋_GB2312"/>
                <w:sz w:val="24"/>
              </w:rPr>
              <w:t>合同签订之日起</w:t>
            </w:r>
            <w:r>
              <w:rPr>
                <w:rFonts w:ascii="仿宋_GB2312" w:hAnsi="仿宋_GB2312" w:cs="仿宋_GB2312" w:eastAsia="仿宋_GB2312"/>
                <w:sz w:val="24"/>
              </w:rPr>
              <w:t>90</w:t>
            </w:r>
            <w:r>
              <w:rPr>
                <w:rFonts w:ascii="仿宋_GB2312" w:hAnsi="仿宋_GB2312" w:cs="仿宋_GB2312" w:eastAsia="仿宋_GB2312"/>
                <w:sz w:val="24"/>
              </w:rPr>
              <w:t>个日历日内。</w:t>
            </w:r>
          </w:p>
          <w:p>
            <w:pPr>
              <w:pStyle w:val="null3"/>
              <w:jc w:val="both"/>
            </w:pPr>
            <w:r>
              <w:rPr>
                <w:rFonts w:ascii="仿宋_GB2312" w:hAnsi="仿宋_GB2312" w:cs="仿宋_GB2312" w:eastAsia="仿宋_GB2312"/>
                <w:sz w:val="24"/>
              </w:rPr>
              <w:t>3、质保期：</w:t>
            </w:r>
            <w:r>
              <w:rPr>
                <w:rFonts w:ascii="仿宋_GB2312" w:hAnsi="仿宋_GB2312" w:cs="仿宋_GB2312" w:eastAsia="仿宋_GB2312"/>
                <w:sz w:val="24"/>
              </w:rPr>
              <w:t>本项目竣工验收合格通过之日起工程质保期为</w:t>
            </w:r>
            <w:r>
              <w:rPr>
                <w:rFonts w:ascii="仿宋_GB2312" w:hAnsi="仿宋_GB2312" w:cs="仿宋_GB2312" w:eastAsia="仿宋_GB2312"/>
                <w:sz w:val="24"/>
              </w:rPr>
              <w:t>2年，防水质保期5年</w:t>
            </w:r>
            <w:r>
              <w:rPr>
                <w:rFonts w:ascii="仿宋_GB2312" w:hAnsi="仿宋_GB2312" w:cs="仿宋_GB2312" w:eastAsia="仿宋_GB2312"/>
                <w:sz w:val="24"/>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施工要求的质量标准：达到现行“合格”标准，符合国家、行业、地方规定以及磋商文件规定的质量和安全标准要求。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商务要求： 1、结算要求： （1）付款单位：由采购人负责结算，在付款前，必须开具等额发票给采购人。 （2）付款方式：供应商进场后，达到付款条件起30日，支付合同总金额的40%；项目完工后，达到付款条件起30日，支付合同总金额的40%；提交竣工结算报告并通过审计部门审核后，达到付款条件起30日，支付合同总金额的17%；质保期满后，达到付款条件起30日，支付合同总金额的3%。 2、工期要求：合同签订之日起90个日历日内。 3、质保期：本项目竣工验收合格通过之日起工程质保期为2年，防水质保期5年。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⑨《陕西省财政厅关于进一步落实政府采购支持中小企业相关政策的通知》（陕财办采〔2023〕3号）⑩本项目为专门面向中小企业采购项目。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法定代表人授权书及被授权人身份证复印件。（法定代表人直接磋商只须提交法定代表人身份证明书）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供应商具备有效的建筑工程施工总承包三级以上（含三级）资质或建筑装修装饰工程专业承包二级以上（含二级）资质</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不良记录查询</w:t>
            </w:r>
          </w:p>
        </w:tc>
        <w:tc>
          <w:tcPr>
            <w:tcW w:type="dxa" w:w="3322"/>
          </w:tcPr>
          <w:p>
            <w:pPr>
              <w:pStyle w:val="null3"/>
            </w:pPr>
            <w:r>
              <w:rPr>
                <w:rFonts w:ascii="仿宋_GB2312" w:hAnsi="仿宋_GB2312" w:cs="仿宋_GB2312" w:eastAsia="仿宋_GB2312"/>
              </w:rPr>
              <w:t>供应商及项目经理须在“陕西省勘察设计行业管理平台（http://js.shaanxi.gov.cn/）”可查询且无不良记录</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供应商名称与营业执照、资质证书一致（合格） 供应商名称与营业执照、资质证书不一致（不合格）</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响应文件按磋商文件要求的数量、计量单位、报价货币及签字盖章（合格） 响应文件未按磋商文件要求的数量、计量单位、报价货币及签字盖章（不合格）</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磋商有效期达到磋商文件要求</w:t>
            </w:r>
          </w:p>
        </w:tc>
        <w:tc>
          <w:tcPr>
            <w:tcW w:type="dxa" w:w="3322"/>
          </w:tcPr>
          <w:p>
            <w:pPr>
              <w:pStyle w:val="null3"/>
            </w:pPr>
            <w:r>
              <w:rPr>
                <w:rFonts w:ascii="仿宋_GB2312" w:hAnsi="仿宋_GB2312" w:cs="仿宋_GB2312" w:eastAsia="仿宋_GB2312"/>
              </w:rPr>
              <w:t>磋商有效期达到磋商文件要求（合格） 磋商有效期未达到磋商文件要求（不合格）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符合法律、法规和磋商文件中规定的其他实质性要求（合格） 不符合法律、法规和磋商文件中规定的其他实质性要求（不合格）</w:t>
            </w:r>
          </w:p>
        </w:tc>
        <w:tc>
          <w:tcPr>
            <w:tcW w:type="dxa" w:w="1661"/>
          </w:tcPr>
          <w:p>
            <w:pPr>
              <w:pStyle w:val="null3"/>
            </w:pPr>
            <w:r>
              <w:rPr>
                <w:rFonts w:ascii="仿宋_GB2312" w:hAnsi="仿宋_GB2312" w:cs="仿宋_GB2312" w:eastAsia="仿宋_GB2312"/>
              </w:rPr>
              <w:t>技术服务合同条款及其他商务要求应答表 供应商认为有必要说明的问题.docx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项目内容，针对具体问题提出相对应的施工方案。施工方案科学合理、详细、完整，可操作性强，能有效指导施工，能满足采购人需要的，计7-10分；方案较为合理，能基本保障项目实施质量的，计4-6.99分；实施方案有缺漏或不合理的，计0-3.99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详细评审---施工方案.docx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根据供应商所提供的施工进度安排进行赋分： 施工进度安排科学、合理，措施得当，所报工期符合招标文件要求，有保证工程进度的具体可行的措施，计2-4分；内容有缺漏或措施不合理的，计0-1.99分。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详细评审---工期的技术组织措施.docx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根据供应商所提供的工程质量保证措施进行赋分： 工程质量保证措施科学合理，内容完整的，计2-4分； 内容有缺漏或措施不合理的，计0-1.99分。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详细评审---质量技术组织措施.docx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根据供应商所提供的施工安全生产技术措施及保证体系进行赋分： 施工安全生产技术措施合理、保证体系完善的，计4-5分；措施较合理、体系较完善的，计2-3.99分； 措施不合理或体系不完善的，计0-1.99分。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详细评审---安全生产技术组织措施.docx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根据供应商所提供的施工机械配备清单和工程所用材料情况进行赋分： 施工机械配备齐全，材料投入计划与施工进度相符，根据响应情况，计0-3分。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详细评审---施工机械配备和材料投入计划.docx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根据供应商所提供的保证文明施工的技术措施及保证体系进行赋分： 技术措施及保证体系措施合理、体系完善的，计3-4分；措施较合理、体系较完善的，计1-2.99分； 措施不合理或体系不完善的，计0-0.99分。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详细评审---文明施工措施.docx</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项目组织管理机构人员配置齐全，各专业配备合理、分工及岗位职责清晰，根据响应情况计0-4分。 备注：需提供以上人员相关证书及供应商为其缴纳的2025年1月至今任意三个月的社保证明材料或劳动合同或2025年1月至今任意三个月的银行卡工资流水，未提供或提供不全不计分。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详细评审---项目组织管理机构安排计划.docx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根据供应商针对本项目提出重点难点分析及解决措施进行进行赋分： 方案完整、合理，针对性强，切实有效，计4-6分； 方案完整、较合理，针对性、可实施性一般，计2-3.99分；方案针对性、可实施性差，计0-1.99分。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详细评审---重难点分析.docx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文物保护单位的高标准、高要求，供应商对于项目实施过程中可能出现的突发状况有切实可行的应对方案及措施，措施科学合理，有具体可行的响应时限，能保证项目质量并按时提交项目成果，计4-6分；保障措施有一定可行性，计2-3.99分；保障措施较差、可行性差或未提供，计0-1.99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详细评审---应急保障措施.docx</w:t>
            </w:r>
          </w:p>
        </w:tc>
      </w:tr>
      <w:tr>
        <w:tc>
          <w:tcPr>
            <w:tcW w:type="dxa" w:w="831"/>
            <w:vMerge/>
          </w:tcPr>
          <w:p/>
        </w:tc>
        <w:tc>
          <w:tcPr>
            <w:tcW w:type="dxa" w:w="1661"/>
          </w:tcPr>
          <w:p>
            <w:pPr>
              <w:pStyle w:val="null3"/>
            </w:pPr>
            <w:r>
              <w:rPr>
                <w:rFonts w:ascii="仿宋_GB2312" w:hAnsi="仿宋_GB2312" w:cs="仿宋_GB2312" w:eastAsia="仿宋_GB2312"/>
              </w:rPr>
              <w:t>主要设备及材料</w:t>
            </w:r>
          </w:p>
        </w:tc>
        <w:tc>
          <w:tcPr>
            <w:tcW w:type="dxa" w:w="2492"/>
          </w:tcPr>
          <w:p>
            <w:pPr>
              <w:pStyle w:val="null3"/>
            </w:pPr>
            <w:r>
              <w:rPr>
                <w:rFonts w:ascii="仿宋_GB2312" w:hAnsi="仿宋_GB2312" w:cs="仿宋_GB2312" w:eastAsia="仿宋_GB2312"/>
              </w:rPr>
              <w:t>1.供应商针对本项目的主要材料清单品目（清单内容需包含名称、品牌、规格、材质等），根据提供内容的完整程度计分：提供清单内容完整丰富，使用材料能保障工程质量的计0-4分； 2.根据响应产品及材料为主流产品，质量好、工艺优良、安全性高，货源渠道正规计0-5分。 3.如响应设备材料为节能环保或环境标志产品，提供相关证明材料，每提供1份计0.5分，满分1分。 （注：节能环保、环境标志产品以经国家确定的认证机构出具的、处于有效期内的节能产品、环境标志产品认证证书为准）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详细评审---主要设备及材料.docx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提供供应商2022年5月1日至今（以合同(协议)签订日期为准）同类型项目业绩合同，每份计2分，满分10分。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 承诺</w:t>
            </w:r>
          </w:p>
        </w:tc>
        <w:tc>
          <w:tcPr>
            <w:tcW w:type="dxa" w:w="2492"/>
          </w:tcPr>
          <w:p>
            <w:pPr>
              <w:pStyle w:val="null3"/>
            </w:pPr>
            <w:r>
              <w:rPr>
                <w:rFonts w:ascii="仿宋_GB2312" w:hAnsi="仿宋_GB2312" w:cs="仿宋_GB2312" w:eastAsia="仿宋_GB2312"/>
              </w:rPr>
              <w:t>供应商质量保修承诺完整，根据响应情况每项计0-1分，满分4分。 1.有售后保障工作服务方案及工作计划； 2.有保修团队人员配备并具备相关资格证书； 3.有巡查或复查计划及售后质量保障措施； 4.对工程维修服务响应时限有明确的承诺。</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详细评审---保修承诺.docx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详见附件：详细评审---施工方案.docx</w:t>
      </w:r>
    </w:p>
    <w:p>
      <w:pPr>
        <w:pStyle w:val="null3"/>
        <w:ind w:firstLine="960"/>
      </w:pPr>
      <w:r>
        <w:rPr>
          <w:rFonts w:ascii="仿宋_GB2312" w:hAnsi="仿宋_GB2312" w:cs="仿宋_GB2312" w:eastAsia="仿宋_GB2312"/>
        </w:rPr>
        <w:t>详见附件：详细评审---工期的技术组织措施.docx</w:t>
      </w:r>
    </w:p>
    <w:p>
      <w:pPr>
        <w:pStyle w:val="null3"/>
        <w:ind w:firstLine="960"/>
      </w:pPr>
      <w:r>
        <w:rPr>
          <w:rFonts w:ascii="仿宋_GB2312" w:hAnsi="仿宋_GB2312" w:cs="仿宋_GB2312" w:eastAsia="仿宋_GB2312"/>
        </w:rPr>
        <w:t>详见附件：详细评审---质量技术组织措施.docx</w:t>
      </w:r>
    </w:p>
    <w:p>
      <w:pPr>
        <w:pStyle w:val="null3"/>
        <w:ind w:firstLine="960"/>
      </w:pPr>
      <w:r>
        <w:rPr>
          <w:rFonts w:ascii="仿宋_GB2312" w:hAnsi="仿宋_GB2312" w:cs="仿宋_GB2312" w:eastAsia="仿宋_GB2312"/>
        </w:rPr>
        <w:t>详见附件：详细评审---安全生产技术组织措施.docx</w:t>
      </w:r>
    </w:p>
    <w:p>
      <w:pPr>
        <w:pStyle w:val="null3"/>
        <w:ind w:firstLine="960"/>
      </w:pPr>
      <w:r>
        <w:rPr>
          <w:rFonts w:ascii="仿宋_GB2312" w:hAnsi="仿宋_GB2312" w:cs="仿宋_GB2312" w:eastAsia="仿宋_GB2312"/>
        </w:rPr>
        <w:t>详见附件：详细评审---施工机械配备和材料投入计划.docx</w:t>
      </w:r>
    </w:p>
    <w:p>
      <w:pPr>
        <w:pStyle w:val="null3"/>
        <w:ind w:firstLine="960"/>
      </w:pPr>
      <w:r>
        <w:rPr>
          <w:rFonts w:ascii="仿宋_GB2312" w:hAnsi="仿宋_GB2312" w:cs="仿宋_GB2312" w:eastAsia="仿宋_GB2312"/>
        </w:rPr>
        <w:t>详见附件：详细评审---文明施工措施.docx</w:t>
      </w:r>
    </w:p>
    <w:p>
      <w:pPr>
        <w:pStyle w:val="null3"/>
        <w:ind w:firstLine="960"/>
      </w:pPr>
      <w:r>
        <w:rPr>
          <w:rFonts w:ascii="仿宋_GB2312" w:hAnsi="仿宋_GB2312" w:cs="仿宋_GB2312" w:eastAsia="仿宋_GB2312"/>
        </w:rPr>
        <w:t>详见附件：详细评审---项目组织管理机构安排计划.docx</w:t>
      </w:r>
    </w:p>
    <w:p>
      <w:pPr>
        <w:pStyle w:val="null3"/>
        <w:ind w:firstLine="960"/>
      </w:pPr>
      <w:r>
        <w:rPr>
          <w:rFonts w:ascii="仿宋_GB2312" w:hAnsi="仿宋_GB2312" w:cs="仿宋_GB2312" w:eastAsia="仿宋_GB2312"/>
        </w:rPr>
        <w:t>详见附件：详细评审---重难点分析.docx</w:t>
      </w:r>
    </w:p>
    <w:p>
      <w:pPr>
        <w:pStyle w:val="null3"/>
        <w:ind w:firstLine="960"/>
      </w:pPr>
      <w:r>
        <w:rPr>
          <w:rFonts w:ascii="仿宋_GB2312" w:hAnsi="仿宋_GB2312" w:cs="仿宋_GB2312" w:eastAsia="仿宋_GB2312"/>
        </w:rPr>
        <w:t>详见附件：详细评审---应急保障措施.docx</w:t>
      </w:r>
    </w:p>
    <w:p>
      <w:pPr>
        <w:pStyle w:val="null3"/>
        <w:ind w:firstLine="960"/>
      </w:pPr>
      <w:r>
        <w:rPr>
          <w:rFonts w:ascii="仿宋_GB2312" w:hAnsi="仿宋_GB2312" w:cs="仿宋_GB2312" w:eastAsia="仿宋_GB2312"/>
        </w:rPr>
        <w:t>详见附件：详细评审---主要设备及材料.docx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详见附件：详细评审---保修承诺.docx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