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版本号：HXGJXM2025-ZC-DY101220250612001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库房租赁项目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HXGJXM2025-ZC-DY1012</w:t>
      </w:r>
      <w:r>
        <w:br/>
      </w:r>
      <w:r>
        <w:br/>
      </w:r>
      <w:r>
        <w:br/>
      </w:r>
    </w:p>
    <w:p>
      <w:pPr>
        <w:pStyle w:val="null3"/>
        <w:jc w:val="center"/>
        <w:outlineLvl w:val="5"/>
      </w:pPr>
      <w:r>
        <w:rPr>
          <w:rFonts w:ascii="仿宋_GB2312" w:hAnsi="仿宋_GB2312" w:cs="仿宋_GB2312" w:eastAsia="仿宋_GB2312"/>
          <w:sz w:val="15"/>
          <w:b/>
        </w:rPr>
        <w:t>陕西省戏曲研究院</w:t>
      </w:r>
    </w:p>
    <w:p>
      <w:pPr>
        <w:pStyle w:val="null3"/>
        <w:jc w:val="center"/>
        <w:outlineLvl w:val="5"/>
      </w:pPr>
      <w:r>
        <w:rPr>
          <w:rFonts w:ascii="仿宋_GB2312" w:hAnsi="仿宋_GB2312" w:cs="仿宋_GB2312" w:eastAsia="仿宋_GB2312"/>
          <w:sz w:val="15"/>
          <w:b/>
        </w:rPr>
        <w:t>华夏国际项目管理有限公司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库房租赁项目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HXGJXM2025-ZC-DY1012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库房租赁项目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寻求存放场地，其位置、运输距离、库房面积、运输条件、存放干湿度、消防安全等需满足陕西省戏曲研究院的大量剧目道具、服装、布景以及各种演出设备等存放需求。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采购包1（库房租赁）：属于专门面向小微企业采购。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2、信用查询：供应商未被“信用中国” 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陕西省西安市莲湖区二环南路西段202号九座花园16层1605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执行，不满6000元按照6000元收费。代理服务费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寻求存放场地，其位置、运输距离、库房面积、运输条件、存放干湿度、消防安全等需满足陕西省戏曲研究院的大量剧目道具、服装、布景以及各种演出设备等存放需求。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场地满足陕西省戏曲研究院的大量剧目道具、服装、布景以及各种演出设备存放需求。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地址：长安区炮里镇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面积：约3000㎡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满足履行合同需求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满足履行合同需求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在甲方付款前，乙方应先向甲方出具等额合法发票。合同协议签订后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剩余租金按财政预算资金下达后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 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参与的单位全部为符合政策要求的小微企业。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其他资料.docx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首次报价未超过本项目最高限价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满足单一来源采购文件要求的服务期限</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详见附件：库房租赁拟签订合同.docx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