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版本号：ZCZX2025-DY-09420250616001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陕西干部网络学院云网络服务项目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ZCZX2025-DY-094</w:t>
      </w:r>
      <w:r>
        <w:br/>
      </w:r>
      <w:r>
        <w:br/>
      </w:r>
      <w:r>
        <w:br/>
      </w:r>
    </w:p>
    <w:p>
      <w:pPr>
        <w:pStyle w:val="null3"/>
        <w:jc w:val="center"/>
        <w:outlineLvl w:val="5"/>
      </w:pPr>
      <w:r>
        <w:rPr>
          <w:rFonts w:ascii="仿宋_GB2312" w:hAnsi="仿宋_GB2312" w:cs="仿宋_GB2312" w:eastAsia="仿宋_GB2312"/>
          <w:sz w:val="15"/>
          <w:b/>
        </w:rPr>
        <w:t>省委组织部机关</w:t>
      </w:r>
    </w:p>
    <w:p>
      <w:pPr>
        <w:pStyle w:val="null3"/>
        <w:jc w:val="center"/>
        <w:outlineLvl w:val="5"/>
      </w:pPr>
      <w:r>
        <w:rPr>
          <w:rFonts w:ascii="仿宋_GB2312" w:hAnsi="仿宋_GB2312" w:cs="仿宋_GB2312" w:eastAsia="仿宋_GB2312"/>
          <w:sz w:val="15"/>
          <w:b/>
        </w:rPr>
        <w:t>陕西众诚致信管理咨询有限公司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省委组织部机关</w:t>
      </w:r>
      <w:r>
        <w:rPr>
          <w:rFonts w:ascii="仿宋_GB2312" w:hAnsi="仿宋_GB2312" w:cs="仿宋_GB2312" w:eastAsia="仿宋_GB2312"/>
        </w:rPr>
        <w:t>委托，拟对</w:t>
      </w:r>
      <w:r>
        <w:rPr>
          <w:rFonts w:ascii="仿宋_GB2312" w:hAnsi="仿宋_GB2312" w:cs="仿宋_GB2312" w:eastAsia="仿宋_GB2312"/>
        </w:rPr>
        <w:t>陕西干部网络学院云网络服务项目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ZCZX2025-DY-094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陕西干部网络学院云网络服务项目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中共陕西省委组织部陕西干部网络学院云网络服务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协商全过程，其中法定代表人（或负责人）直接参加协商的，须出具法定代表人（或负责人）身份证，并与营业执照上信息一致。法定代表人（或负责人）授权代表参加协商的，须提供法定代表人委托授权书及被授权人的参保缴费证明（须赋可查询的验证编号或验证二维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省委组织部机关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63905604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计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省委组织部机关</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省委组织部机关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中共陕西省委组织部陕西干部网络学院云网络服务项目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采购内容及要求</w:t>
            </w:r>
          </w:p>
          <w:tbl>
            <w:tblPr>
              <w:tblInd w:type="dxa" w:w="21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对象存储服务</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公网流出流量包</w:t>
                  </w:r>
                  <w:r>
                    <w:rPr>
                      <w:rFonts w:ascii="仿宋_GB2312" w:hAnsi="仿宋_GB2312" w:cs="仿宋_GB2312" w:eastAsia="仿宋_GB2312"/>
                      <w:sz w:val="21"/>
                      <w:color w:val="000000"/>
                    </w:rPr>
                    <w:t>1TB</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singl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标准存储多</w:t>
                  </w:r>
                  <w:r>
                    <w:rPr>
                      <w:rFonts w:ascii="仿宋_GB2312" w:hAnsi="仿宋_GB2312" w:cs="仿宋_GB2312" w:eastAsia="仿宋_GB2312"/>
                      <w:sz w:val="21"/>
                      <w:color w:val="000000"/>
                    </w:rPr>
                    <w:t>AZ存储资源包 1TB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企业主机安全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企业版</w:t>
                  </w:r>
                  <w:r>
                    <w:rPr>
                      <w:rFonts w:ascii="仿宋_GB2312" w:hAnsi="仿宋_GB2312" w:cs="仿宋_GB2312" w:eastAsia="仿宋_GB2312"/>
                      <w:sz w:val="21"/>
                      <w:color w:val="000000"/>
                    </w:rPr>
                    <w:t xml:space="preserve">   </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Web应用防火墙</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基础套餐</w:t>
                  </w:r>
                  <w:r>
                    <w:rPr>
                      <w:rFonts w:ascii="仿宋_GB2312" w:hAnsi="仿宋_GB2312" w:cs="仿宋_GB2312" w:eastAsia="仿宋_GB2312"/>
                      <w:sz w:val="21"/>
                      <w:color w:val="000000"/>
                    </w:rPr>
                    <w:t>标准版</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云堡垒机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100资产专业版</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云数据库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主备版</w:t>
                  </w:r>
                  <w:r>
                    <w:rPr>
                      <w:rFonts w:ascii="仿宋_GB2312" w:hAnsi="仿宋_GB2312" w:cs="仿宋_GB2312" w:eastAsia="仿宋_GB2312"/>
                      <w:sz w:val="21"/>
                      <w:color w:val="000000"/>
                    </w:rPr>
                    <w:t>云盘独享型</w:t>
                  </w:r>
                  <w:r>
                    <w:rPr>
                      <w:rFonts w:ascii="仿宋_GB2312" w:hAnsi="仿宋_GB2312" w:cs="仿宋_GB2312" w:eastAsia="仿宋_GB2312"/>
                      <w:sz w:val="21"/>
                      <w:color w:val="000000"/>
                    </w:rPr>
                    <w:t>16vCPUs 64GB</w:t>
                  </w:r>
                  <w:r>
                    <w:br/>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超高</w:t>
                  </w:r>
                  <w:r>
                    <w:rPr>
                      <w:rFonts w:ascii="仿宋_GB2312" w:hAnsi="仿宋_GB2312" w:cs="仿宋_GB2312" w:eastAsia="仿宋_GB2312"/>
                      <w:sz w:val="21"/>
                      <w:color w:val="000000"/>
                    </w:rPr>
                    <w:t>IO 1150GB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只读实例</w:t>
                  </w:r>
                  <w:r>
                    <w:rPr>
                      <w:rFonts w:ascii="仿宋_GB2312" w:hAnsi="仿宋_GB2312" w:cs="仿宋_GB2312" w:eastAsia="仿宋_GB2312"/>
                      <w:sz w:val="21"/>
                      <w:color w:val="000000"/>
                    </w:rPr>
                    <w:t>通用增强型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16vCPUs 64GB</w:t>
                  </w:r>
                  <w:r>
                    <w:br/>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超高</w:t>
                  </w:r>
                  <w:r>
                    <w:rPr>
                      <w:rFonts w:ascii="仿宋_GB2312" w:hAnsi="仿宋_GB2312" w:cs="仿宋_GB2312" w:eastAsia="仿宋_GB2312"/>
                      <w:sz w:val="21"/>
                      <w:color w:val="000000"/>
                    </w:rPr>
                    <w:t>IO 1150GB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只读实例</w:t>
                  </w:r>
                  <w:r>
                    <w:rPr>
                      <w:rFonts w:ascii="仿宋_GB2312" w:hAnsi="仿宋_GB2312" w:cs="仿宋_GB2312" w:eastAsia="仿宋_GB2312"/>
                      <w:sz w:val="21"/>
                      <w:color w:val="000000"/>
                    </w:rPr>
                    <w:t>通用增强型</w:t>
                  </w:r>
                  <w:r>
                    <w:rPr>
                      <w:rFonts w:ascii="仿宋_GB2312" w:hAnsi="仿宋_GB2312" w:cs="仿宋_GB2312" w:eastAsia="仿宋_GB2312"/>
                      <w:sz w:val="21"/>
                      <w:color w:val="000000"/>
                    </w:rPr>
                    <w:t>16vCPUs 64GB</w:t>
                  </w:r>
                  <w:r>
                    <w:br/>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超高</w:t>
                  </w:r>
                  <w:r>
                    <w:rPr>
                      <w:rFonts w:ascii="仿宋_GB2312" w:hAnsi="仿宋_GB2312" w:cs="仿宋_GB2312" w:eastAsia="仿宋_GB2312"/>
                      <w:sz w:val="21"/>
                      <w:color w:val="000000"/>
                    </w:rPr>
                    <w:t>IO 1150GB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内存优化型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16vCPUs 128GB linux</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10 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32vCPUs 64GB linux</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10 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8vCPUs 32GB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  数据盘  高IO  100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鲲鹏通用计算增强型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8vCPUs 32GB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鲲鹏通用计算增强型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8vCPUs 32GB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1Mbit/s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16vCPUs 64GB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100 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16vCPUs 64GB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5 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4vCPUs 16GB windows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  数据盘  高IO  1500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内存优化型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4vCPUs 32GB windows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  数据盘  高IO  1000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8vCPUs 32GB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  数据盘  高IO  100 GiB</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200 Mbit/s</w:t>
                  </w:r>
                </w:p>
              </w:tc>
              <w:tc>
                <w:tcPr>
                  <w:tcW w:type="dxa" w:w="638"/>
                  <w:vMerge/>
                  <w:tcBorders>
                    <w:top w:val="none" w:color="000000" w:sz="4"/>
                    <w:left w:val="none" w:color="000000" w:sz="4"/>
                    <w:bottom w:val="singl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16vCPUs 64GB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弹性云服务器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通用计算增强型</w:t>
                  </w:r>
                  <w:r>
                    <w:rPr>
                      <w:rFonts w:ascii="仿宋_GB2312" w:hAnsi="仿宋_GB2312" w:cs="仿宋_GB2312" w:eastAsia="仿宋_GB2312"/>
                      <w:sz w:val="21"/>
                      <w:color w:val="000000"/>
                    </w:rPr>
                    <w:t xml:space="preserve">16vCPUs 64GB linux </w:t>
                  </w:r>
                  <w:r>
                    <w:br/>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高</w:t>
                  </w:r>
                  <w:r>
                    <w:rPr>
                      <w:rFonts w:ascii="仿宋_GB2312" w:hAnsi="仿宋_GB2312" w:cs="仿宋_GB2312" w:eastAsia="仿宋_GB2312"/>
                      <w:sz w:val="21"/>
                      <w:color w:val="000000"/>
                    </w:rPr>
                    <w:t>IO  150 GiB</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分布式缓存服务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分布式缓存</w:t>
                  </w:r>
                  <w:r>
                    <w:rPr>
                      <w:rFonts w:ascii="仿宋_GB2312" w:hAnsi="仿宋_GB2312" w:cs="仿宋_GB2312" w:eastAsia="仿宋_GB2312"/>
                      <w:sz w:val="21"/>
                      <w:color w:val="000000"/>
                    </w:rPr>
                    <w:t>Proxy集群16GB(X86版)实例</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云速邮箱</w:t>
                  </w:r>
                  <w:r>
                    <w:rPr>
                      <w:rFonts w:ascii="仿宋_GB2312" w:hAnsi="仿宋_GB2312" w:cs="仿宋_GB2312" w:eastAsia="仿宋_GB2312"/>
                      <w:sz w:val="21"/>
                      <w:color w:val="000000"/>
                    </w:rPr>
                    <w:t>-旗舰版</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云速邮箱旗舰版</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CDN</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CDN混合流量包（8:2） 1P</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一百万条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bl>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质量验收标准或规范</w:t>
            </w:r>
          </w:p>
          <w:p>
            <w:pPr>
              <w:pStyle w:val="null3"/>
              <w:jc w:val="both"/>
            </w:pPr>
            <w:r>
              <w:rPr>
                <w:rFonts w:ascii="仿宋_GB2312" w:hAnsi="仿宋_GB2312" w:cs="仿宋_GB2312" w:eastAsia="仿宋_GB2312"/>
                <w:sz w:val="21"/>
              </w:rPr>
              <w:t>现行的国家标准或国家行政部门颁布的法律法规、规章制度等，是项目验收的另一个重要依据。没有国家标准的，可以参考行业标准。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合同签订后，达到使用要求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须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协商过程中，单一来源采购人员认为供应商报价有可能影响产品质量或者不能诚信履约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单一来源采购人员要求的时间内通过项目电子化交易系统进行提交，否则提交的相关证明材料无效。供应商不能证明其响应报价合理性的，单一来源采购人员应当将其响应文件作为无效处理。</w:t>
            </w:r>
          </w:p>
        </w:tc>
        <w:tc>
          <w:tcPr>
            <w:tcW w:type="dxa" w:w="1661"/>
          </w:tcPr>
          <w:p>
            <w:pPr>
              <w:pStyle w:val="null3"/>
            </w:pPr>
            <w:r>
              <w:rPr>
                <w:rFonts w:ascii="仿宋_GB2312" w:hAnsi="仿宋_GB2312" w:cs="仿宋_GB2312" w:eastAsia="仿宋_GB2312"/>
              </w:rPr>
              <w:t>供应商承诺.docx 标的清单 报价表 响应报价明细表.docx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