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30CA0796">
      <w:pPr>
        <w:pStyle w:val="12"/>
        <w:spacing w:line="360" w:lineRule="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2F325A9C">
      <w:pPr>
        <w:pStyle w:val="12"/>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42CAECD4">
      <w:pPr>
        <w:pStyle w:val="12"/>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14:paraId="257BDCF4">
      <w:pPr>
        <w:pStyle w:val="12"/>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26CA49D6">
      <w:pPr>
        <w:pStyle w:val="12"/>
        <w:spacing w:line="360" w:lineRule="auto"/>
        <w:rPr>
          <w:rFonts w:hint="eastAsia" w:ascii="宋体" w:hAnsi="宋体" w:eastAsia="宋体" w:cs="宋体"/>
          <w:sz w:val="24"/>
          <w:szCs w:val="24"/>
          <w:highlight w:val="yellow"/>
        </w:rPr>
      </w:pPr>
      <w:r>
        <w:rPr>
          <w:rFonts w:hint="eastAsia" w:ascii="宋体" w:hAnsi="宋体" w:eastAsia="宋体" w:cs="宋体"/>
          <w:sz w:val="24"/>
          <w:szCs w:val="24"/>
        </w:rPr>
        <w:t>5、书面声明：</w:t>
      </w:r>
      <w:r>
        <w:rPr>
          <w:rFonts w:hint="eastAsia" w:ascii="宋体" w:hAnsi="宋体" w:eastAsia="宋体" w:cs="宋体"/>
          <w:sz w:val="24"/>
          <w:szCs w:val="24"/>
          <w:highlight w:val="none"/>
        </w:rPr>
        <w:t>参加本次政府采购活动前三年内在经营活动中没有重大违纪，以及未被列入失信被执行人、重大税收违法失信主体、</w:t>
      </w:r>
      <w:r>
        <w:rPr>
          <w:rFonts w:hint="eastAsia" w:ascii="宋体" w:hAnsi="宋体" w:eastAsia="宋体" w:cs="宋体"/>
          <w:sz w:val="24"/>
          <w:szCs w:val="24"/>
          <w:highlight w:val="none"/>
          <w:lang w:val="en-US" w:eastAsia="zh-CN"/>
        </w:rPr>
        <w:t>严重失信主体名单</w:t>
      </w:r>
      <w:r>
        <w:rPr>
          <w:rFonts w:hint="eastAsia" w:ascii="宋体" w:hAnsi="宋体" w:eastAsia="宋体" w:cs="宋体"/>
          <w:sz w:val="24"/>
          <w:szCs w:val="24"/>
          <w:highlight w:val="none"/>
        </w:rPr>
        <w:t>的书面声明。本项目拒绝被列入失信被执行人、重大税收违法失信主体、</w:t>
      </w:r>
      <w:r>
        <w:rPr>
          <w:rFonts w:hint="eastAsia" w:ascii="宋体" w:hAnsi="宋体" w:eastAsia="宋体" w:cs="宋体"/>
          <w:sz w:val="24"/>
          <w:szCs w:val="24"/>
          <w:highlight w:val="none"/>
          <w:lang w:val="en-US" w:eastAsia="zh-CN"/>
        </w:rPr>
        <w:t>严重失信主体</w:t>
      </w:r>
      <w:r>
        <w:rPr>
          <w:rFonts w:hint="eastAsia" w:ascii="宋体" w:hAnsi="宋体" w:eastAsia="宋体" w:cs="宋体"/>
          <w:sz w:val="24"/>
          <w:szCs w:val="24"/>
          <w:highlight w:val="none"/>
        </w:rPr>
        <w:t>的投标人参与。</w:t>
      </w:r>
      <w:r>
        <w:rPr>
          <w:rFonts w:hint="eastAsia" w:ascii="宋体" w:hAnsi="宋体" w:cs="Helvetica"/>
          <w:b/>
          <w:bCs/>
          <w:kern w:val="0"/>
          <w:sz w:val="24"/>
        </w:rPr>
        <w:t>（格式后附）</w:t>
      </w:r>
    </w:p>
    <w:p w14:paraId="69586707">
      <w:pPr>
        <w:pStyle w:val="12"/>
        <w:spacing w:line="360" w:lineRule="auto"/>
        <w:rPr>
          <w:rFonts w:hint="eastAsia" w:ascii="宋体" w:hAnsi="宋体" w:eastAsia="宋体" w:cs="宋体"/>
          <w:sz w:val="24"/>
          <w:szCs w:val="24"/>
          <w:highlight w:val="none"/>
        </w:rPr>
      </w:pPr>
      <w:r>
        <w:rPr>
          <w:rFonts w:hint="eastAsia" w:ascii="宋体" w:hAnsi="宋体" w:eastAsia="宋体" w:cs="宋体"/>
          <w:sz w:val="24"/>
          <w:szCs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6C5E0FC2">
      <w:pPr>
        <w:pStyle w:val="12"/>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7、承诺函：提供具有履行合同所必需的设备和专业技术能力的承诺函。</w:t>
      </w:r>
      <w:r>
        <w:rPr>
          <w:rFonts w:hint="eastAsia" w:ascii="宋体" w:hAnsi="宋体" w:cs="Helvetica"/>
          <w:b/>
          <w:bCs/>
          <w:kern w:val="0"/>
          <w:sz w:val="24"/>
        </w:rPr>
        <w:t>（格式后附）</w:t>
      </w:r>
    </w:p>
    <w:p w14:paraId="7412FEB3">
      <w:pPr>
        <w:pStyle w:val="12"/>
        <w:spacing w:line="360" w:lineRule="auto"/>
        <w:rPr>
          <w:rFonts w:ascii="宋体" w:hAnsi="宋体" w:cs="Helvetica"/>
          <w:kern w:val="0"/>
          <w:sz w:val="24"/>
        </w:rPr>
      </w:pPr>
      <w:r>
        <w:rPr>
          <w:rFonts w:hint="eastAsia" w:ascii="宋体" w:hAnsi="宋体" w:eastAsia="宋体" w:cs="宋体"/>
          <w:sz w:val="24"/>
          <w:szCs w:val="24"/>
          <w:highlight w:val="none"/>
        </w:rPr>
        <w:t>8、法定代表人授权书：法定代表人授权书及被授权人身份证复印件。（法定代表人直接投标只须提交法定代表人证明书）</w:t>
      </w:r>
      <w:r>
        <w:rPr>
          <w:rFonts w:hint="eastAsia" w:ascii="宋体" w:hAnsi="宋体" w:cs="Helvetica"/>
          <w:b/>
          <w:bCs/>
          <w:kern w:val="0"/>
          <w:sz w:val="24"/>
        </w:rPr>
        <w:t>（格式后附）</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4"/>
        <w:spacing w:line="500" w:lineRule="exact"/>
        <w:rPr>
          <w:rFonts w:hAnsi="宋体"/>
          <w:b/>
          <w:bCs/>
          <w:sz w:val="24"/>
          <w:szCs w:val="24"/>
        </w:rPr>
      </w:pPr>
      <w:r>
        <w:rPr>
          <w:rFonts w:hint="eastAsia" w:hAnsi="宋体"/>
          <w:sz w:val="24"/>
          <w:szCs w:val="24"/>
        </w:rPr>
        <w:t>陕西开源招标有限公司：</w:t>
      </w:r>
    </w:p>
    <w:p w14:paraId="0CC57D16">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为其缴纳社保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32526A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4"/>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3C93C9">
      <w:pPr>
        <w:spacing w:line="360" w:lineRule="auto"/>
        <w:ind w:firstLine="480" w:firstLineChars="200"/>
        <w:jc w:val="left"/>
        <w:rPr>
          <w:rFonts w:ascii="宋体" w:hAnsi="宋体"/>
          <w:b/>
          <w:sz w:val="32"/>
          <w:szCs w:val="32"/>
        </w:rPr>
      </w:pPr>
      <w:r>
        <w:rPr>
          <w:rFonts w:hint="eastAsia" w:ascii="宋体" w:hAnsi="宋体"/>
          <w:sz w:val="24"/>
        </w:rPr>
        <w:t>我单位声明参加本次招标活动前三年内，在经营活动中没有重大违纪，以及未被列入失信被执行人、未在重大税收违法失信主体及严重失信主体中。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38F2885">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49997344">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643F628D">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023E16FC">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0FED47DD">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03954811">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67203A5B">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1D853E5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35E29C8B">
            <w:pPr>
              <w:rPr>
                <w:sz w:val="24"/>
              </w:rPr>
            </w:pPr>
          </w:p>
        </w:tc>
        <w:tc>
          <w:tcPr>
            <w:tcW w:w="1010" w:type="pct"/>
            <w:vMerge w:val="restart"/>
            <w:tcBorders>
              <w:top w:val="nil"/>
              <w:left w:val="single" w:color="000000" w:sz="8" w:space="0"/>
              <w:bottom w:val="nil"/>
              <w:right w:val="single" w:color="000000" w:sz="8" w:space="0"/>
            </w:tcBorders>
            <w:vAlign w:val="center"/>
          </w:tcPr>
          <w:p w14:paraId="72C5E45D">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615D25C6">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71B1D33C">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2598F4C">
            <w:pPr>
              <w:rPr>
                <w:sz w:val="24"/>
              </w:rPr>
            </w:pPr>
          </w:p>
        </w:tc>
      </w:tr>
      <w:tr w14:paraId="0E154AD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D39662D">
            <w:pPr>
              <w:rPr>
                <w:sz w:val="24"/>
              </w:rPr>
            </w:pPr>
          </w:p>
        </w:tc>
        <w:tc>
          <w:tcPr>
            <w:tcW w:w="1010" w:type="pct"/>
            <w:vMerge w:val="continue"/>
            <w:tcBorders>
              <w:top w:val="nil"/>
              <w:left w:val="single" w:color="000000" w:sz="8" w:space="0"/>
              <w:bottom w:val="nil"/>
              <w:right w:val="single" w:color="000000" w:sz="8" w:space="0"/>
            </w:tcBorders>
            <w:vAlign w:val="center"/>
          </w:tcPr>
          <w:p w14:paraId="47A54540">
            <w:pPr>
              <w:rPr>
                <w:sz w:val="24"/>
              </w:rPr>
            </w:pPr>
          </w:p>
        </w:tc>
        <w:tc>
          <w:tcPr>
            <w:tcW w:w="909" w:type="pct"/>
            <w:vMerge w:val="restart"/>
            <w:tcBorders>
              <w:top w:val="nil"/>
              <w:left w:val="single" w:color="000000" w:sz="8" w:space="0"/>
              <w:right w:val="single" w:color="000000" w:sz="8" w:space="0"/>
            </w:tcBorders>
            <w:vAlign w:val="center"/>
          </w:tcPr>
          <w:p w14:paraId="4752BE59">
            <w:pPr>
              <w:rPr>
                <w:sz w:val="24"/>
              </w:rPr>
            </w:pPr>
          </w:p>
        </w:tc>
        <w:tc>
          <w:tcPr>
            <w:tcW w:w="1006" w:type="pct"/>
            <w:tcBorders>
              <w:top w:val="nil"/>
              <w:left w:val="nil"/>
              <w:bottom w:val="single" w:color="000000" w:sz="8" w:space="0"/>
              <w:right w:val="single" w:color="000000" w:sz="8" w:space="0"/>
            </w:tcBorders>
            <w:vAlign w:val="center"/>
          </w:tcPr>
          <w:p w14:paraId="0B16C2D1">
            <w:pPr>
              <w:rPr>
                <w:sz w:val="24"/>
              </w:rPr>
            </w:pPr>
          </w:p>
        </w:tc>
        <w:tc>
          <w:tcPr>
            <w:tcW w:w="1061" w:type="pct"/>
            <w:tcBorders>
              <w:top w:val="nil"/>
              <w:left w:val="nil"/>
              <w:bottom w:val="single" w:color="000000" w:sz="8" w:space="0"/>
              <w:right w:val="single" w:color="000000" w:sz="8" w:space="0"/>
            </w:tcBorders>
            <w:vAlign w:val="center"/>
          </w:tcPr>
          <w:p w14:paraId="357F62D0">
            <w:pPr>
              <w:rPr>
                <w:sz w:val="24"/>
              </w:rPr>
            </w:pPr>
          </w:p>
        </w:tc>
      </w:tr>
      <w:tr w14:paraId="4C698F28">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D792B0D">
            <w:pPr>
              <w:rPr>
                <w:sz w:val="24"/>
              </w:rPr>
            </w:pPr>
          </w:p>
        </w:tc>
        <w:tc>
          <w:tcPr>
            <w:tcW w:w="1010" w:type="pct"/>
            <w:vMerge w:val="continue"/>
            <w:tcBorders>
              <w:top w:val="nil"/>
              <w:left w:val="single" w:color="000000" w:sz="8" w:space="0"/>
              <w:bottom w:val="nil"/>
              <w:right w:val="single" w:color="000000" w:sz="8" w:space="0"/>
            </w:tcBorders>
            <w:vAlign w:val="center"/>
          </w:tcPr>
          <w:p w14:paraId="47A81AC1">
            <w:pPr>
              <w:rPr>
                <w:sz w:val="24"/>
              </w:rPr>
            </w:pPr>
          </w:p>
        </w:tc>
        <w:tc>
          <w:tcPr>
            <w:tcW w:w="909" w:type="pct"/>
            <w:vMerge w:val="continue"/>
            <w:tcBorders>
              <w:left w:val="single" w:color="000000" w:sz="8" w:space="0"/>
              <w:right w:val="single" w:color="000000" w:sz="8" w:space="0"/>
            </w:tcBorders>
            <w:vAlign w:val="center"/>
          </w:tcPr>
          <w:p w14:paraId="08FC191E">
            <w:pPr>
              <w:rPr>
                <w:sz w:val="24"/>
              </w:rPr>
            </w:pPr>
          </w:p>
        </w:tc>
        <w:tc>
          <w:tcPr>
            <w:tcW w:w="1006" w:type="pct"/>
            <w:tcBorders>
              <w:top w:val="nil"/>
              <w:left w:val="nil"/>
              <w:bottom w:val="single" w:color="000000" w:sz="8" w:space="0"/>
              <w:right w:val="single" w:color="000000" w:sz="8" w:space="0"/>
            </w:tcBorders>
            <w:vAlign w:val="center"/>
          </w:tcPr>
          <w:p w14:paraId="1C4B20ED">
            <w:pPr>
              <w:rPr>
                <w:sz w:val="24"/>
              </w:rPr>
            </w:pPr>
          </w:p>
        </w:tc>
        <w:tc>
          <w:tcPr>
            <w:tcW w:w="1061" w:type="pct"/>
            <w:tcBorders>
              <w:top w:val="nil"/>
              <w:left w:val="nil"/>
              <w:bottom w:val="single" w:color="000000" w:sz="8" w:space="0"/>
              <w:right w:val="single" w:color="000000" w:sz="8" w:space="0"/>
            </w:tcBorders>
            <w:vAlign w:val="center"/>
          </w:tcPr>
          <w:p w14:paraId="61A69A6A">
            <w:pPr>
              <w:rPr>
                <w:sz w:val="24"/>
              </w:rPr>
            </w:pPr>
          </w:p>
        </w:tc>
      </w:tr>
      <w:tr w14:paraId="1C305D9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D57B1D8">
            <w:pPr>
              <w:rPr>
                <w:sz w:val="24"/>
              </w:rPr>
            </w:pPr>
          </w:p>
        </w:tc>
        <w:tc>
          <w:tcPr>
            <w:tcW w:w="1010" w:type="pct"/>
            <w:vMerge w:val="continue"/>
            <w:tcBorders>
              <w:top w:val="nil"/>
              <w:left w:val="single" w:color="000000" w:sz="8" w:space="0"/>
              <w:bottom w:val="nil"/>
              <w:right w:val="single" w:color="000000" w:sz="8" w:space="0"/>
            </w:tcBorders>
            <w:vAlign w:val="center"/>
          </w:tcPr>
          <w:p w14:paraId="388A0CCC">
            <w:pPr>
              <w:rPr>
                <w:sz w:val="24"/>
              </w:rPr>
            </w:pPr>
          </w:p>
        </w:tc>
        <w:tc>
          <w:tcPr>
            <w:tcW w:w="909" w:type="pct"/>
            <w:vMerge w:val="continue"/>
            <w:tcBorders>
              <w:left w:val="single" w:color="000000" w:sz="8" w:space="0"/>
              <w:bottom w:val="nil"/>
              <w:right w:val="single" w:color="000000" w:sz="8" w:space="0"/>
            </w:tcBorders>
            <w:vAlign w:val="center"/>
          </w:tcPr>
          <w:p w14:paraId="0AA55367">
            <w:pPr>
              <w:rPr>
                <w:sz w:val="24"/>
              </w:rPr>
            </w:pPr>
          </w:p>
        </w:tc>
        <w:tc>
          <w:tcPr>
            <w:tcW w:w="1006" w:type="pct"/>
            <w:tcBorders>
              <w:top w:val="nil"/>
              <w:left w:val="nil"/>
              <w:bottom w:val="nil"/>
              <w:right w:val="single" w:color="000000" w:sz="8" w:space="0"/>
            </w:tcBorders>
            <w:vAlign w:val="center"/>
          </w:tcPr>
          <w:p w14:paraId="6C7377F6">
            <w:pPr>
              <w:rPr>
                <w:sz w:val="24"/>
              </w:rPr>
            </w:pPr>
            <w:r>
              <w:rPr>
                <w:rFonts w:hint="eastAsia"/>
                <w:sz w:val="24"/>
              </w:rPr>
              <w:t>…</w:t>
            </w:r>
          </w:p>
        </w:tc>
        <w:tc>
          <w:tcPr>
            <w:tcW w:w="1061" w:type="pct"/>
            <w:tcBorders>
              <w:top w:val="nil"/>
              <w:left w:val="nil"/>
              <w:bottom w:val="nil"/>
              <w:right w:val="single" w:color="000000" w:sz="8" w:space="0"/>
            </w:tcBorders>
            <w:noWrap/>
            <w:vAlign w:val="center"/>
          </w:tcPr>
          <w:p w14:paraId="4BDF0BE5">
            <w:pPr>
              <w:rPr>
                <w:sz w:val="24"/>
              </w:rPr>
            </w:pPr>
            <w:r>
              <w:rPr>
                <w:rFonts w:hint="eastAsia"/>
                <w:sz w:val="24"/>
              </w:rPr>
              <w:t>…</w:t>
            </w:r>
          </w:p>
        </w:tc>
      </w:tr>
      <w:tr w14:paraId="28762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8827D08">
            <w:pPr>
              <w:rPr>
                <w:sz w:val="24"/>
              </w:rPr>
            </w:pPr>
            <w:r>
              <w:rPr>
                <w:rFonts w:hint="eastAsia"/>
                <w:sz w:val="24"/>
              </w:rPr>
              <w:t>备注：本表内容须根据投标人性质如实填写，表内“/”为选择内容，请删除与投标人性质无关的选项。</w:t>
            </w:r>
          </w:p>
        </w:tc>
      </w:tr>
    </w:tbl>
    <w:p w14:paraId="3E5F63C9">
      <w:pPr>
        <w:pStyle w:val="3"/>
        <w:rPr>
          <w:color w:val="auto"/>
        </w:rPr>
      </w:pPr>
    </w:p>
    <w:p w14:paraId="74D0583B">
      <w:pPr>
        <w:rPr>
          <w:sz w:val="24"/>
        </w:rPr>
      </w:pPr>
    </w:p>
    <w:p w14:paraId="0A9C56D8">
      <w:pPr>
        <w:spacing w:line="480" w:lineRule="auto"/>
        <w:ind w:firstLine="480" w:firstLineChars="200"/>
        <w:jc w:val="left"/>
        <w:rPr>
          <w:rFonts w:ascii="宋体" w:hAnsi="宋体"/>
          <w:sz w:val="24"/>
        </w:rPr>
      </w:pPr>
    </w:p>
    <w:p w14:paraId="507C3968">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1279246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A3B16E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D13769C"/>
    <w:p w14:paraId="2AFC592D">
      <w:pPr>
        <w:spacing w:line="360" w:lineRule="atLeast"/>
      </w:pPr>
    </w:p>
    <w:p w14:paraId="1B5D87B5">
      <w:pPr>
        <w:spacing w:line="360" w:lineRule="atLeast"/>
        <w:jc w:val="center"/>
      </w:pPr>
      <w: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3"/>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bookmarkStart w:id="0" w:name="_GoBack"/>
      <w:bookmarkEnd w:id="0"/>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35591005"/>
    <w:rsid w:val="3DAE17FE"/>
    <w:rsid w:val="43F87FF0"/>
    <w:rsid w:val="478A7058"/>
    <w:rsid w:val="5E3C397E"/>
    <w:rsid w:val="64D86CE7"/>
    <w:rsid w:val="6C6A1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3177</Words>
  <Characters>3206</Characters>
  <Lines>31</Lines>
  <Paragraphs>8</Paragraphs>
  <TotalTime>0</TotalTime>
  <ScaleCrop>false</ScaleCrop>
  <LinksUpToDate>false</LinksUpToDate>
  <CharactersWithSpaces>4149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2025-06-12T07:46:18Z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