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版本号：YC25301008（ZBA）20250612001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餐厅维修改造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YC25301008（ZBA）</w:t>
      </w:r>
      <w:r>
        <w:br/>
      </w:r>
      <w:r>
        <w:br/>
      </w:r>
      <w:r>
        <w:br/>
      </w:r>
    </w:p>
    <w:p>
      <w:pPr>
        <w:pStyle w:val="null3"/>
        <w:jc w:val="center"/>
        <w:outlineLvl w:val="2"/>
      </w:pPr>
      <w:r>
        <w:rPr>
          <w:rFonts w:ascii="仿宋_GB2312" w:hAnsi="仿宋_GB2312" w:cs="仿宋_GB2312" w:eastAsia="仿宋_GB2312"/>
          <w:sz w:val="28"/>
          <w:b/>
        </w:rPr>
        <w:t>中共陕西省委党校</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中共陕西省委党校</w:t>
      </w:r>
      <w:r>
        <w:rPr>
          <w:rFonts w:ascii="仿宋_GB2312" w:hAnsi="仿宋_GB2312" w:cs="仿宋_GB2312" w:eastAsia="仿宋_GB2312"/>
        </w:rPr>
        <w:t>委托，拟对</w:t>
      </w:r>
      <w:r>
        <w:rPr>
          <w:rFonts w:ascii="仿宋_GB2312" w:hAnsi="仿宋_GB2312" w:cs="仿宋_GB2312" w:eastAsia="仿宋_GB2312"/>
        </w:rPr>
        <w:t>餐厅维修改造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YC25301008（ZBA）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餐厅维修改造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中共陕西省委党校（陕西行政学院）餐厅维修改造,具体详见磋商文件。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采购包1（餐厅维修改造）：属于专门面向中小企业采购。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财务状况报告：供应商提供2024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p>
      <w:pPr>
        <w:pStyle w:val="null3"/>
      </w:pPr>
      <w:r>
        <w:rPr>
          <w:rFonts w:ascii="仿宋_GB2312" w:hAnsi="仿宋_GB2312" w:cs="仿宋_GB2312" w:eastAsia="仿宋_GB2312"/>
        </w:rPr>
        <w:t>2、营业执照：具有独立承担民事责任能力的法人、其他组织或自然人，并出具合法有效的营业执照或事业单位法人证书等国家规定的相关证明，自然人参与的提供其身份证明；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3、税收缴纳证明：提供2024年12月至今已缴纳的至少一个月的纳税证明或完税证明，依法免税的单位应提供相关证明材料；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4、社会保障资金缴纳证明：提供2024年12月至今已缴存的至少一个月的社会保障资金缴存单据或社保机构开具的社会保险参保缴费情况证明，依法不需要缴纳社会保障资金的单位应提供相关证明材料；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信用：对列入“信用中国”网站(www.creditchina.gov.cn)“记录失信被执行人或重大税收违法案件当事人名单；中国政府采购网(www.ccgp.gov.cn)“政府采购严重违法失信行为信息记录”的单位，应当拒绝参与政府采购活动；</w:t>
      </w:r>
    </w:p>
    <w:p>
      <w:pPr>
        <w:pStyle w:val="null3"/>
      </w:pPr>
      <w:r>
        <w:rPr>
          <w:rFonts w:ascii="仿宋_GB2312" w:hAnsi="仿宋_GB2312" w:cs="仿宋_GB2312" w:eastAsia="仿宋_GB2312"/>
        </w:rPr>
        <w:t>7、承诺函：具有履行合同所必需的专业技术能力的承诺函；</w:t>
      </w:r>
    </w:p>
    <w:p>
      <w:pPr>
        <w:pStyle w:val="null3"/>
      </w:pPr>
      <w:r>
        <w:rPr>
          <w:rFonts w:ascii="仿宋_GB2312" w:hAnsi="仿宋_GB2312" w:cs="仿宋_GB2312" w:eastAsia="仿宋_GB2312"/>
        </w:rPr>
        <w:t>8、授权书：法定代表人(负责人)参与投标时，提供法定代表人(负责人)身份证明及本人身份证复印件加盖公章；授权代表参与投标时，提供企业法人授权委托书及被授权人身份证复印件加盖公章；</w:t>
      </w:r>
    </w:p>
    <w:p>
      <w:pPr>
        <w:pStyle w:val="null3"/>
      </w:pPr>
      <w:r>
        <w:rPr>
          <w:rFonts w:ascii="仿宋_GB2312" w:hAnsi="仿宋_GB2312" w:cs="仿宋_GB2312" w:eastAsia="仿宋_GB2312"/>
        </w:rPr>
        <w:t>9、控股、管理关系：单位负责人为同一人或者存在直接控股、管理关系的不同投标人，不得同时参加本项目投标；</w:t>
      </w:r>
    </w:p>
    <w:p>
      <w:pPr>
        <w:pStyle w:val="null3"/>
      </w:pPr>
      <w:r>
        <w:rPr>
          <w:rFonts w:ascii="仿宋_GB2312" w:hAnsi="仿宋_GB2312" w:cs="仿宋_GB2312" w:eastAsia="仿宋_GB2312"/>
        </w:rPr>
        <w:t>10、资质：供应商应具备建设行政主管部门颁发的建筑装修装饰工程专业承包二级及以上资质且具备有效的安全生产许可证；</w:t>
      </w:r>
    </w:p>
    <w:p>
      <w:pPr>
        <w:pStyle w:val="null3"/>
      </w:pPr>
      <w:r>
        <w:rPr>
          <w:rFonts w:ascii="仿宋_GB2312" w:hAnsi="仿宋_GB2312" w:cs="仿宋_GB2312" w:eastAsia="仿宋_GB2312"/>
        </w:rPr>
        <w:t>11、拟派项目负责人资质和专业要求：拟委派的项目经理应具备建筑工程专业二级及以上注册建造师资格，具有安全生产考核合格 B 证在本单位注册，且未担任在建工程项目经理（提供承诺）；</w:t>
      </w:r>
    </w:p>
    <w:p>
      <w:pPr>
        <w:pStyle w:val="null3"/>
      </w:pPr>
      <w:r>
        <w:rPr>
          <w:rFonts w:ascii="仿宋_GB2312" w:hAnsi="仿宋_GB2312" w:cs="仿宋_GB2312" w:eastAsia="仿宋_GB2312"/>
        </w:rPr>
        <w:t>12、本项目专门面向中小企业采购：本项目专门面向中小企业采购。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中共陕西省委党校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西安市小寨西路119号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中共陕西省委党校经办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029-85378239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李晓梅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029-85410678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采购包1：1,374,000.00元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坐便器、蹲便器、小便器、拖把池龙头、红外感应出水龙头</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吧台吊线灯、嵌入式平板灯、LED悬挂灯、嵌入式筒灯(深防眩)</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无机涂料、地砖、墙砖、石膏板、矿棉板、木饰面板、阻燃板、水泥压力板、竹木碳晶板、木质造型隔断、石材、基层处理剂、胶粘剂、加气混凝土砌块</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开户名称：亿诚建设项目管理有限公司</w:t>
            </w:r>
          </w:p>
          <w:p>
            <w:pPr>
              <w:pStyle w:val="null3"/>
            </w:pPr>
            <w:r>
              <w:rPr>
                <w:rFonts w:ascii="仿宋_GB2312" w:hAnsi="仿宋_GB2312" w:cs="仿宋_GB2312" w:eastAsia="仿宋_GB2312"/>
              </w:rPr>
              <w:t>开户银行：平安银行西安含光路支行</w:t>
            </w:r>
          </w:p>
          <w:p>
            <w:pPr>
              <w:pStyle w:val="null3"/>
            </w:pPr>
            <w:r>
              <w:rPr>
                <w:rFonts w:ascii="仿宋_GB2312" w:hAnsi="仿宋_GB2312" w:cs="仿宋_GB2312" w:eastAsia="仿宋_GB2312"/>
              </w:rPr>
              <w:t>银行账号：30205199004505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说明：交至甲方指定账户，履约完成后15个工作日内退还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代理服务费收费标准：1、成交服务费及造价咨询费按约定由成交供应商支付。 2、成交供应商应依据成交金额向采购代理机构交纳成交服务费，交费金额参照《招标代理服务收费管理暂行办法》（计价格（2002）1980号）附件规定的收费标准收取。 3、造价咨询费：工程量清单及最高限价编制费用由中标单位在领取中标通知书前一次性支付，计费基数为中标价格，按照陕西省物价局及陕西省住房和城乡建设厅文件陕价行发（2014）88号文件收费标准50%计取，工程造价咨询服务收费额低于2000元时，按2000元收取。 4、本项目代理服务费按工程计取。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踏勘时间：2025-06-22 15:00:00</w:t>
            </w:r>
          </w:p>
          <w:p>
            <w:pPr>
              <w:pStyle w:val="null3"/>
              <w:ind w:firstLine="975"/>
            </w:pPr>
            <w:r>
              <w:rPr>
                <w:rFonts w:ascii="仿宋_GB2312" w:hAnsi="仿宋_GB2312" w:cs="仿宋_GB2312" w:eastAsia="仿宋_GB2312"/>
              </w:rPr>
              <w:t>踏勘地点：小寨西路119号</w:t>
            </w:r>
          </w:p>
          <w:p>
            <w:pPr>
              <w:pStyle w:val="null3"/>
              <w:ind w:firstLine="975"/>
            </w:pPr>
            <w:r>
              <w:rPr>
                <w:rFonts w:ascii="仿宋_GB2312" w:hAnsi="仿宋_GB2312" w:cs="仿宋_GB2312" w:eastAsia="仿宋_GB2312"/>
              </w:rPr>
              <w:t>联系人：李工</w:t>
            </w:r>
          </w:p>
          <w:p>
            <w:pPr>
              <w:pStyle w:val="null3"/>
              <w:ind w:firstLine="975"/>
            </w:pPr>
            <w:r>
              <w:rPr>
                <w:rFonts w:ascii="仿宋_GB2312" w:hAnsi="仿宋_GB2312" w:cs="仿宋_GB2312" w:eastAsia="仿宋_GB2312"/>
              </w:rPr>
              <w:t>联系电话号码：029-85410678</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中共陕西省委党校</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中共陕西省委党校</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中共陕西省委党校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联系人：李晓梅</w:t>
      </w:r>
    </w:p>
    <w:p>
      <w:pPr>
        <w:pStyle w:val="null3"/>
      </w:pPr>
      <w:r>
        <w:rPr>
          <w:rFonts w:ascii="仿宋_GB2312" w:hAnsi="仿宋_GB2312" w:cs="仿宋_GB2312" w:eastAsia="仿宋_GB2312"/>
        </w:rPr>
        <w:t>联系电话：029-85410678</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1,374,000.00</w:t>
      </w:r>
    </w:p>
    <w:p>
      <w:pPr>
        <w:pStyle w:val="null3"/>
      </w:pPr>
      <w:r>
        <w:rPr>
          <w:rFonts w:ascii="仿宋_GB2312" w:hAnsi="仿宋_GB2312" w:cs="仿宋_GB2312" w:eastAsia="仿宋_GB2312"/>
        </w:rPr>
        <w:t>采购包最高限价（元）: 1,373,720.43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餐厅维修改造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1,374,000.00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标的名称：餐厅维修改造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一、工程概况：</w:t>
            </w:r>
          </w:p>
          <w:p>
            <w:pPr>
              <w:pStyle w:val="null3"/>
              <w:ind w:firstLine="480"/>
              <w:jc w:val="both"/>
            </w:pPr>
            <w:r>
              <w:rPr>
                <w:rFonts w:ascii="仿宋_GB2312" w:hAnsi="仿宋_GB2312" w:cs="仿宋_GB2312" w:eastAsia="仿宋_GB2312"/>
                <w:sz w:val="24"/>
              </w:rPr>
              <w:t>1、工程概况：</w:t>
            </w:r>
            <w:r>
              <w:rPr>
                <w:rFonts w:ascii="仿宋_GB2312" w:hAnsi="仿宋_GB2312" w:cs="仿宋_GB2312" w:eastAsia="仿宋_GB2312"/>
                <w:sz w:val="24"/>
              </w:rPr>
              <w:t>中共陕西省委党校（陕西行政学院）餐厅维修改造，主要施工内容有：小寨校区餐厅内一层（厨房、二四餐厅、办公室、工具间、卫生间、楼梯间）及二层（卫生间、楼梯间）原装修拆除及新做，具体包含地面、墙面、吊顶、灯具、线路、洁具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建设地址：</w:t>
            </w:r>
            <w:r>
              <w:rPr>
                <w:rFonts w:ascii="仿宋_GB2312" w:hAnsi="仿宋_GB2312" w:cs="仿宋_GB2312" w:eastAsia="仿宋_GB2312"/>
                <w:sz w:val="24"/>
              </w:rPr>
              <w:t>小寨西路</w:t>
            </w:r>
            <w:r>
              <w:rPr>
                <w:rFonts w:ascii="仿宋_GB2312" w:hAnsi="仿宋_GB2312" w:cs="仿宋_GB2312" w:eastAsia="仿宋_GB2312"/>
                <w:sz w:val="24"/>
              </w:rPr>
              <w:t>119号</w:t>
            </w:r>
          </w:p>
          <w:p>
            <w:pPr>
              <w:pStyle w:val="null3"/>
              <w:jc w:val="both"/>
            </w:pPr>
            <w:r>
              <w:rPr>
                <w:rFonts w:ascii="仿宋_GB2312" w:hAnsi="仿宋_GB2312" w:cs="仿宋_GB2312" w:eastAsia="仿宋_GB2312"/>
                <w:sz w:val="24"/>
              </w:rPr>
              <w:t>二、编制依据：</w:t>
            </w:r>
          </w:p>
          <w:p>
            <w:pPr>
              <w:pStyle w:val="null3"/>
              <w:ind w:firstLine="480"/>
              <w:jc w:val="both"/>
            </w:pPr>
            <w:r>
              <w:rPr>
                <w:rFonts w:ascii="仿宋_GB2312" w:hAnsi="仿宋_GB2312" w:cs="仿宋_GB2312" w:eastAsia="仿宋_GB2312"/>
                <w:sz w:val="24"/>
              </w:rPr>
              <w:t>1、中共陕西省委党校（陕西行政学院）餐厅维修改造 设计图纸；</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、《陕西省建设工程工程量清单计价规则》（</w:t>
            </w:r>
            <w:r>
              <w:rPr>
                <w:rFonts w:ascii="仿宋_GB2312" w:hAnsi="仿宋_GB2312" w:cs="仿宋_GB2312" w:eastAsia="仿宋_GB2312"/>
                <w:sz w:val="24"/>
              </w:rPr>
              <w:t>2009）；</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、《陕西省建筑、装饰工程消耗量定额》（</w:t>
            </w:r>
            <w:r>
              <w:rPr>
                <w:rFonts w:ascii="仿宋_GB2312" w:hAnsi="仿宋_GB2312" w:cs="仿宋_GB2312" w:eastAsia="仿宋_GB2312"/>
                <w:sz w:val="24"/>
              </w:rPr>
              <w:t>2004），《陕西省安装工程消耗量定额》（2004），《陕西省建设工程消耗量定额补充定额》（2004）、《陕西省市政园林绿化工程消耗量定额》（2004年）；</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、《陕西省建筑、装饰工程价目表》（</w:t>
            </w:r>
            <w:r>
              <w:rPr>
                <w:rFonts w:ascii="仿宋_GB2312" w:hAnsi="仿宋_GB2312" w:cs="仿宋_GB2312" w:eastAsia="仿宋_GB2312"/>
                <w:sz w:val="24"/>
              </w:rPr>
              <w:t>2009）、《陕西省安装工程价目表》（2009）、《陕西省建筑装饰市政园林绿化工程价目表》（2009）、《陕西省建设工程施工机械台班价目表》（2009）、《陕西省建设工程消耗量定额勘误及补充定额》（2009）、《陕西省建设工程工程量清单计价费率》（2009）及其他相关文件；</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、陕建发</w:t>
            </w:r>
            <w:r>
              <w:rPr>
                <w:rFonts w:ascii="仿宋_GB2312" w:hAnsi="仿宋_GB2312" w:cs="仿宋_GB2312" w:eastAsia="仿宋_GB2312"/>
                <w:sz w:val="24"/>
              </w:rPr>
              <w:t>[2017]270号文《关于增加建设工程扬尘治理专项措施费及综合人工单价调整的通知》；</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、陕建发</w:t>
            </w:r>
            <w:r>
              <w:rPr>
                <w:rFonts w:ascii="仿宋_GB2312" w:hAnsi="仿宋_GB2312" w:cs="仿宋_GB2312" w:eastAsia="仿宋_GB2312"/>
                <w:sz w:val="24"/>
              </w:rPr>
              <w:t>[2019]45号文《关于调整陕西省建设工程计价依据的通知》；</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、陕建发</w:t>
            </w:r>
            <w:r>
              <w:rPr>
                <w:rFonts w:ascii="仿宋_GB2312" w:hAnsi="仿宋_GB2312" w:cs="仿宋_GB2312" w:eastAsia="仿宋_GB2312"/>
                <w:sz w:val="24"/>
              </w:rPr>
              <w:t>[2019]1246号文《关于发布我省落实建筑工人实名制管理计价依据的通知》</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、陕建发〔</w:t>
            </w:r>
            <w:r>
              <w:rPr>
                <w:rFonts w:ascii="仿宋_GB2312" w:hAnsi="仿宋_GB2312" w:cs="仿宋_GB2312" w:eastAsia="仿宋_GB2312"/>
                <w:sz w:val="24"/>
              </w:rPr>
              <w:t>2020〕1097号文《陕西省住房和城乡建设厅关于建筑施工安全生产责任保险费用计价的通知》；</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、陕建发﹝</w:t>
            </w:r>
            <w:r>
              <w:rPr>
                <w:rFonts w:ascii="仿宋_GB2312" w:hAnsi="仿宋_GB2312" w:cs="仿宋_GB2312" w:eastAsia="仿宋_GB2312"/>
                <w:sz w:val="24"/>
              </w:rPr>
              <w:t>2021﹞1021号文《关于全省统一停止收缴建筑业劳保费用的通知》</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、陕建发</w:t>
            </w:r>
            <w:r>
              <w:rPr>
                <w:rFonts w:ascii="仿宋_GB2312" w:hAnsi="仿宋_GB2312" w:cs="仿宋_GB2312" w:eastAsia="仿宋_GB2312"/>
                <w:sz w:val="24"/>
              </w:rPr>
              <w:t>[2021]1097号文《关于调整房屋建筑和市政基础设施工程工程量清单计价综合人工单价的通知》</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、施工现场情况、工程特点及常规施工方案；现行国家和陕西省建筑施工规范；</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、其他相关资料。</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暂列金</w:t>
            </w:r>
            <w:r>
              <w:rPr>
                <w:rFonts w:ascii="仿宋_GB2312" w:hAnsi="仿宋_GB2312" w:cs="仿宋_GB2312" w:eastAsia="仿宋_GB2312"/>
                <w:sz w:val="24"/>
              </w:rPr>
              <w:t>额</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rPr>
              <w:t>1、暂列金</w:t>
            </w:r>
            <w:r>
              <w:rPr>
                <w:rFonts w:ascii="仿宋_GB2312" w:hAnsi="仿宋_GB2312" w:cs="仿宋_GB2312" w:eastAsia="仿宋_GB2312"/>
                <w:sz w:val="24"/>
              </w:rPr>
              <w:t>额</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四</w:t>
            </w:r>
            <w:r>
              <w:rPr>
                <w:rFonts w:ascii="仿宋_GB2312" w:hAnsi="仿宋_GB2312" w:cs="仿宋_GB2312" w:eastAsia="仿宋_GB2312"/>
                <w:sz w:val="24"/>
              </w:rPr>
              <w:t>、计价软件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采用</w:t>
            </w:r>
            <w:r>
              <w:rPr>
                <w:rFonts w:ascii="仿宋_GB2312" w:hAnsi="仿宋_GB2312" w:cs="仿宋_GB2312" w:eastAsia="仿宋_GB2312"/>
                <w:sz w:val="24"/>
              </w:rPr>
              <w:t>广联达</w:t>
            </w:r>
            <w:r>
              <w:rPr>
                <w:rFonts w:ascii="仿宋_GB2312" w:hAnsi="仿宋_GB2312" w:cs="仿宋_GB2312" w:eastAsia="仿宋_GB2312"/>
                <w:sz w:val="24"/>
              </w:rPr>
              <w:t>云计价平台</w:t>
            </w:r>
            <w:r>
              <w:rPr>
                <w:rFonts w:ascii="仿宋_GB2312" w:hAnsi="仿宋_GB2312" w:cs="仿宋_GB2312" w:eastAsia="仿宋_GB2312"/>
                <w:sz w:val="24"/>
              </w:rPr>
              <w:t>GCCP</w:t>
            </w:r>
            <w:r>
              <w:rPr>
                <w:rFonts w:ascii="仿宋_GB2312" w:hAnsi="仿宋_GB2312" w:cs="仿宋_GB2312" w:eastAsia="仿宋_GB2312"/>
                <w:sz w:val="24"/>
              </w:rPr>
              <w:t>6.0 （版本号：6.</w:t>
            </w:r>
            <w:r>
              <w:rPr>
                <w:rFonts w:ascii="仿宋_GB2312" w:hAnsi="仿宋_GB2312" w:cs="仿宋_GB2312" w:eastAsia="仿宋_GB2312"/>
                <w:sz w:val="24"/>
              </w:rPr>
              <w:t>4000</w:t>
            </w:r>
            <w:r>
              <w:rPr>
                <w:rFonts w:ascii="仿宋_GB2312" w:hAnsi="仿宋_GB2312" w:cs="仿宋_GB2312" w:eastAsia="仿宋_GB2312"/>
                <w:sz w:val="24"/>
              </w:rPr>
              <w:t>.23.</w:t>
            </w:r>
            <w:r>
              <w:rPr>
                <w:rFonts w:ascii="仿宋_GB2312" w:hAnsi="仿宋_GB2312" w:cs="仿宋_GB2312" w:eastAsia="仿宋_GB2312"/>
                <w:sz w:val="24"/>
              </w:rPr>
              <w:t>122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五、其他说明：</w:t>
            </w:r>
          </w:p>
          <w:p>
            <w:pPr>
              <w:pStyle w:val="null3"/>
              <w:jc w:val="both"/>
            </w:pPr>
            <w:r>
              <w:rPr>
                <w:rFonts w:ascii="仿宋_GB2312" w:hAnsi="仿宋_GB2312" w:cs="仿宋_GB2312" w:eastAsia="仿宋_GB2312"/>
                <w:sz w:val="24"/>
              </w:rPr>
              <w:t>1、养老保险统筹费计入报价。</w:t>
            </w:r>
          </w:p>
          <w:p>
            <w:pPr>
              <w:pStyle w:val="null3"/>
              <w:jc w:val="both"/>
            </w:pPr>
            <w:r>
              <w:rPr>
                <w:rFonts w:ascii="仿宋_GB2312" w:hAnsi="仿宋_GB2312" w:cs="仿宋_GB2312" w:eastAsia="仿宋_GB2312"/>
                <w:sz w:val="24"/>
              </w:rPr>
              <w:t>六、工程量清单</w:t>
            </w:r>
          </w:p>
          <w:p>
            <w:pPr>
              <w:pStyle w:val="null3"/>
              <w:jc w:val="both"/>
            </w:pPr>
            <w:r>
              <w:rPr>
                <w:rFonts w:ascii="仿宋_GB2312" w:hAnsi="仿宋_GB2312" w:cs="仿宋_GB2312" w:eastAsia="仿宋_GB2312"/>
                <w:sz w:val="24"/>
              </w:rPr>
              <w:t>（另附）</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注：工程量清单中必须明确所投主材的品牌。</w:t>
            </w:r>
          </w:p>
          <w:p>
            <w:pPr>
              <w:pStyle w:val="null3"/>
              <w:jc w:val="both"/>
            </w:pPr>
            <w:r>
              <w:rPr>
                <w:rFonts w:ascii="仿宋_GB2312" w:hAnsi="仿宋_GB2312" w:cs="仿宋_GB2312" w:eastAsia="仿宋_GB2312"/>
                <w:sz w:val="24"/>
              </w:rPr>
              <w:t>七、图纸</w:t>
            </w:r>
          </w:p>
          <w:p>
            <w:pPr>
              <w:pStyle w:val="null3"/>
              <w:jc w:val="both"/>
            </w:pPr>
            <w:r>
              <w:rPr>
                <w:rFonts w:ascii="仿宋_GB2312" w:hAnsi="仿宋_GB2312" w:cs="仿宋_GB2312" w:eastAsia="仿宋_GB2312"/>
                <w:sz w:val="24"/>
              </w:rPr>
              <w:t>（另附）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1、工期：自合同签订之日起45天内完成。 2、地点：采购人指定地点。 3、质保期：机电质保2年，土建质保2年，防水质保5年。 4、缺陷责任期：2年。5、工程质量：达到国家建设工程验收规范的合格标准。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在线客服：通过陕西省政府采购网-在线客服进行咨询 技术服务电话：029-96702转6、029-68936460、029-68936462、029-68936469 CA及签章服务：通过陕西省政府采购网-服务专区进行查询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已标价工程量清单.docx 附法定代表人证明书与法定代表人授权书.docx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项目管理机构组成表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提供2024年12月至今已缴纳的至少一个月的纳税证明或完税证明，依法免税的单位应提供相关证明材料；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对列入“信用中国”网站(www.creditchina.gov.cn)“记录失信被执行人或重大税收违法案件当事人名单；中国政府采购网(www.ccgp.gov.cn)“政府采购严重违法失信行为信息记录”的单位，应当拒绝参与政府采购活动；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具有履行合同所必需的专业技术能力的承诺函；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法定代表人(负责人)参与投标时，提供法定代表人(负责人)身份证明及本人身份证复印件加盖公章；授权代表参与投标时，提供企业法人授权委托书及被授权人身份证复印件加盖公章；</w:t>
            </w:r>
          </w:p>
        </w:tc>
        <w:tc>
          <w:tcPr>
            <w:tcW w:type="dxa" w:w="1661"/>
          </w:tcPr>
          <w:p>
            <w:pPr>
              <w:pStyle w:val="null3"/>
            </w:pPr>
            <w:r>
              <w:rPr>
                <w:rFonts w:ascii="仿宋_GB2312" w:hAnsi="仿宋_GB2312" w:cs="仿宋_GB2312" w:eastAsia="仿宋_GB2312"/>
              </w:rPr>
              <w:t>附法定代表人证明书与法定代表人授权书.docx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单位负责人为同一人或者存在直接控股、管理关系的不同投标人，不得同时参加本项目投标；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供应商应具备建设行政主管部门颁发的建筑装修装饰工程专业承包二级及以上资质且具备有效的安全生产许可证；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拟委派的项目经理应具备建筑工程专业二级及以上注册建造师资格，具有安全生产考核合格 B 证在本单位注册，且未担任在建工程项目经理（提供承诺）；</w:t>
            </w:r>
          </w:p>
        </w:tc>
        <w:tc>
          <w:tcPr>
            <w:tcW w:type="dxa" w:w="1661"/>
          </w:tcPr>
          <w:p>
            <w:pPr>
              <w:pStyle w:val="null3"/>
            </w:pPr>
            <w:r>
              <w:rPr>
                <w:rFonts w:ascii="仿宋_GB2312" w:hAnsi="仿宋_GB2312" w:cs="仿宋_GB2312" w:eastAsia="仿宋_GB2312"/>
              </w:rPr>
              <w:t>响应文件封面 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磋商响应文件按磋商文件要求的数量、计量单位、报价货币及签字盖章</w:t>
            </w:r>
          </w:p>
        </w:tc>
        <w:tc>
          <w:tcPr>
            <w:tcW w:type="dxa" w:w="3322"/>
          </w:tcPr>
          <w:p>
            <w:pPr>
              <w:pStyle w:val="null3"/>
            </w:pPr>
            <w:r>
              <w:rPr>
                <w:rFonts w:ascii="仿宋_GB2312" w:hAnsi="仿宋_GB2312" w:cs="仿宋_GB2312" w:eastAsia="仿宋_GB2312"/>
              </w:rPr>
              <w:t>磋商响应文件按磋商文件要求的数量、计量单位、报价货币及签字盖章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磋商响应文件的有效期达到谈判文件要求</w:t>
            </w:r>
          </w:p>
        </w:tc>
        <w:tc>
          <w:tcPr>
            <w:tcW w:type="dxa" w:w="3322"/>
          </w:tcPr>
          <w:p>
            <w:pPr>
              <w:pStyle w:val="null3"/>
            </w:pPr>
            <w:r>
              <w:rPr>
                <w:rFonts w:ascii="仿宋_GB2312" w:hAnsi="仿宋_GB2312" w:cs="仿宋_GB2312" w:eastAsia="仿宋_GB2312"/>
              </w:rPr>
              <w:t>磋商响应文件的有效期达到谈判文件要求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磋商响应文件的投标报价、工期等达到磋商文件要求</w:t>
            </w:r>
          </w:p>
        </w:tc>
        <w:tc>
          <w:tcPr>
            <w:tcW w:type="dxa" w:w="3322"/>
          </w:tcPr>
          <w:p>
            <w:pPr>
              <w:pStyle w:val="null3"/>
            </w:pPr>
            <w:r>
              <w:rPr>
                <w:rFonts w:ascii="仿宋_GB2312" w:hAnsi="仿宋_GB2312" w:cs="仿宋_GB2312" w:eastAsia="仿宋_GB2312"/>
              </w:rPr>
              <w:t>磋商响应文件的投标报价、工期等达到磋商文件要求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强制节能材料</w:t>
            </w:r>
          </w:p>
        </w:tc>
        <w:tc>
          <w:tcPr>
            <w:tcW w:type="dxa" w:w="3322"/>
          </w:tcPr>
          <w:p>
            <w:pPr>
              <w:pStyle w:val="null3"/>
            </w:pPr>
            <w:r>
              <w:rPr>
                <w:rFonts w:ascii="仿宋_GB2312" w:hAnsi="仿宋_GB2312" w:cs="仿宋_GB2312" w:eastAsia="仿宋_GB2312"/>
              </w:rPr>
              <w:t>强制节能材料为：坐便器、蹲便器、小便器、拖把池龙头、红外感应出水龙头；（提供节能产品认证证书）</w:t>
            </w:r>
          </w:p>
        </w:tc>
        <w:tc>
          <w:tcPr>
            <w:tcW w:type="dxa" w:w="1661"/>
          </w:tcPr>
          <w:p>
            <w:pPr>
              <w:pStyle w:val="null3"/>
            </w:pPr>
            <w:r>
              <w:rPr>
                <w:rFonts w:ascii="仿宋_GB2312" w:hAnsi="仿宋_GB2312" w:cs="仿宋_GB2312" w:eastAsia="仿宋_GB2312"/>
              </w:rPr>
              <w:t>响应文件封面 已标价工程量清单 标的清单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方案内容全面，合规性、可行性强，得6分； 方案满足要求，可行性和针对性较强，得5分； 方案基本满足要求，有一定的可行性和针对性，得4分； 方案内容简单笼统，具有较低的可行性、针对性，得3分； 方案内容欠缺，缺乏针对性，得1分；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措施详尽，合理可行，逻辑清楚，针对性及可行性强，得6分； 措施较完善，有一定的逻辑性、针对性、可行性，得5分； 措施内容基本合理，基本可行得4分； 措施内容简单笼统，方案针对性一般得3分； 措施内容缺失、方案针对性较差得1分；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措施详尽，合理可行，逻辑清楚，针对性及可行性强，得6分； 措施较完善，有一定的逻辑性、针对性、可行性，得5分； 措施内容基本合理，基本可行得4分； 措施内容简单笼统，方案针对性一般得3分； 措施内容缺失、方案针对性较差得1分；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措施详尽，合理可行，逻辑清楚，针对性及可行性强，得6分； 措施较完善，有一定的逻辑性、针对性、可行性，得5分； 措施内容基本合理，基本可行得4分； 措施内容简单笼统，方案针对性一般得3分； 措施内容缺失、方案针对性较差得1分；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措施详尽，合理可行，逻辑清楚，针对性及可行性强，得6分； 措施较完善，有一定的逻辑性、针对性、可行性，得5分； 措施内容基本合理，基本可行得4分； 措施内容简单笼统，方案针对性一般得3分； 措施内容缺失、方案针对性较差得1分；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设备配备和材料投入计划</w:t>
            </w:r>
          </w:p>
        </w:tc>
        <w:tc>
          <w:tcPr>
            <w:tcW w:type="dxa" w:w="2492"/>
          </w:tcPr>
          <w:p>
            <w:pPr>
              <w:pStyle w:val="null3"/>
            </w:pPr>
            <w:r>
              <w:rPr>
                <w:rFonts w:ascii="仿宋_GB2312" w:hAnsi="仿宋_GB2312" w:cs="仿宋_GB2312" w:eastAsia="仿宋_GB2312"/>
              </w:rPr>
              <w:t>各种设备配置齐全，材料充足，得5分； 各种设备配置较齐全，材料较充足，得4分； 各种设备配置、材料基本满足采购需求，得3分； 各种设备配置、材料勉强满足项目需求得2分； 各种设备配置不齐全，材料不足，不能满足项目需求得1分；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主要材料的来源和供货渠道</w:t>
            </w:r>
          </w:p>
        </w:tc>
        <w:tc>
          <w:tcPr>
            <w:tcW w:type="dxa" w:w="2492"/>
          </w:tcPr>
          <w:p>
            <w:pPr>
              <w:pStyle w:val="null3"/>
            </w:pPr>
            <w:r>
              <w:rPr>
                <w:rFonts w:ascii="仿宋_GB2312" w:hAnsi="仿宋_GB2312" w:cs="仿宋_GB2312" w:eastAsia="仿宋_GB2312"/>
              </w:rPr>
              <w:t>供应商需针对餐厅维修改造项目提供本项目的主要材料清单，根据质量技术参数性能，主材性能全部优得6分；部分材料性能优得4分；性能基本满足需求得2分；未提供主要材料佐证材料，品牌的不得分（佐证材料包括但不限于材料名称、品牌、规格、材质、检测报告或合格证等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劳动力安排计划详细，合理，完全满足项目需求得5分； 劳动力安排计划满足要求，较合理，得4分； 劳动力安排计划基本满足要求，基本合理，得3分； 劳动力安排计划笼统，合理性一般，得2分； 劳动力安排计划不合理，不能满足项目需求得1分；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项目部人员配备情况</w:t>
            </w:r>
          </w:p>
        </w:tc>
        <w:tc>
          <w:tcPr>
            <w:tcW w:type="dxa" w:w="2492"/>
          </w:tcPr>
          <w:p>
            <w:pPr>
              <w:pStyle w:val="null3"/>
            </w:pPr>
            <w:r>
              <w:rPr>
                <w:rFonts w:ascii="仿宋_GB2312" w:hAnsi="仿宋_GB2312" w:cs="仿宋_GB2312" w:eastAsia="仿宋_GB2312"/>
              </w:rPr>
              <w:t>项目部人员配备合理、分工科学、专业知识构架全面、岗位职责明确，得5分； 项目部人员配备较合理、分工较科学、岗位职责明确，得4分； 项目部人员配备基本合理、分工基本科学、岗位职责明确，得3分； 项目部人员配备合理性一般、分工明确，得2分 项目部人员配备不合理，得1分；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根据供应商拟投入的主要材料选型为环保产品，每提供一个计0.5分，满分2分。（提供相关佐证材料） （环保材料为：无机涂料、地砖、墙砖、石膏板、矿棉板、木饰面板、阻燃板、水泥压力板、竹木碳晶板、木质造型隔断、石材、基层处理剂、胶粘剂、加气混凝土砌块）</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节能产品</w:t>
            </w:r>
          </w:p>
        </w:tc>
        <w:tc>
          <w:tcPr>
            <w:tcW w:type="dxa" w:w="2492"/>
          </w:tcPr>
          <w:p>
            <w:pPr>
              <w:pStyle w:val="null3"/>
            </w:pPr>
            <w:r>
              <w:rPr>
                <w:rFonts w:ascii="仿宋_GB2312" w:hAnsi="仿宋_GB2312" w:cs="仿宋_GB2312" w:eastAsia="仿宋_GB2312"/>
              </w:rPr>
              <w:t>根据供应商拟投入的主要材料选型为节能产品， 每提供一个计0.5分，满分2分。（提供相关佐证材料） 备注:节能材料为：吧台吊线灯、嵌入式平板灯、LED悬挂灯、嵌入式筒灯(深防眩)</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供应商自2022年1月1日以来类似项目业绩（业绩以合同复印件加盖公章为准）：每提供一份有效业绩证明得1分，满分为10分。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满足竞争性磋商文件要求且最后报价最低的供应商的价格为磋商基准价，其价格分为满分。其他供应商的价格分统一按照下列公式计算： 磋商报价得分=（磋商基准价/最后磋商报价）×价格权值×100%。 备注：计算分数时四舍五入取小数点后两位。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详见附件：附法定代表人证明书与法定代表人授权书.docx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详见附件：拟签订采购合同文本-餐厅维修改造.docx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