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版本号：SXDXYZB2025-005-1220250612001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陕西省公路综合业务管理平台数据展示提升服务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SXDXYZB2025-005-12</w:t>
      </w:r>
      <w:r>
        <w:br/>
      </w:r>
      <w:r>
        <w:br/>
      </w:r>
      <w:r>
        <w:br/>
      </w:r>
    </w:p>
    <w:p>
      <w:pPr>
        <w:pStyle w:val="null3"/>
        <w:jc w:val="center"/>
        <w:outlineLvl w:val="2"/>
      </w:pPr>
      <w:r>
        <w:rPr>
          <w:rFonts w:ascii="仿宋_GB2312" w:hAnsi="仿宋_GB2312" w:cs="仿宋_GB2312" w:eastAsia="仿宋_GB2312"/>
          <w:sz w:val="28"/>
          <w:b/>
        </w:rPr>
        <w:t>陕西省公路局</w:t>
      </w:r>
    </w:p>
    <w:p>
      <w:pPr>
        <w:pStyle w:val="null3"/>
        <w:jc w:val="center"/>
        <w:outlineLvl w:val="2"/>
      </w:pPr>
      <w:r>
        <w:rPr>
          <w:rFonts w:ascii="仿宋_GB2312" w:hAnsi="仿宋_GB2312" w:cs="仿宋_GB2312" w:eastAsia="仿宋_GB2312"/>
          <w:sz w:val="28"/>
          <w:b/>
        </w:rPr>
        <w:t>陕西德欣源项目管理有限公司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陕西德欣源项目管理有限公司</w:t>
      </w:r>
      <w:r>
        <w:rPr>
          <w:rFonts w:ascii="仿宋_GB2312" w:hAnsi="仿宋_GB2312" w:cs="仿宋_GB2312" w:eastAsia="仿宋_GB2312"/>
        </w:rPr>
        <w:t>（以下简称“代理机构”）受</w:t>
      </w:r>
      <w:r>
        <w:rPr>
          <w:rFonts w:ascii="仿宋_GB2312" w:hAnsi="仿宋_GB2312" w:cs="仿宋_GB2312" w:eastAsia="仿宋_GB2312"/>
        </w:rPr>
        <w:t>陕西省公路局</w:t>
      </w:r>
      <w:r>
        <w:rPr>
          <w:rFonts w:ascii="仿宋_GB2312" w:hAnsi="仿宋_GB2312" w:cs="仿宋_GB2312" w:eastAsia="仿宋_GB2312"/>
        </w:rPr>
        <w:t>委托，拟对</w:t>
      </w:r>
      <w:r>
        <w:rPr>
          <w:rFonts w:ascii="仿宋_GB2312" w:hAnsi="仿宋_GB2312" w:cs="仿宋_GB2312" w:eastAsia="仿宋_GB2312"/>
        </w:rPr>
        <w:t>陕西省公路综合业务管理平台数据展示提升服务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SXDXYZB2025-005-12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陕西省公路综合业务管理平台数据展示提升服务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借助现代信息技术，依托移动端轻量级应用，对陕西省公路综合业务管理平台内积累的各业务数据，定制一款满足省级统筹、市县使用的集轻量化、便捷化与智能化于一体的公路综合业务移动端，拓展数据接口和数据展示查询方式，优化提升数据展示服务，逐步实现公路行业管理的智能化升级、网络化互通以及便捷化操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采购包1（陕西省公路综合业务管理平台数据展示提升服务）：属于专门面向中小企业采购。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1、营业执照等主体证明：供应商具有独立承担民事责任能力的法人、其他组织或自然人，并出具合法有效的营业执照或事业单位法人证书等国家规定的相关证明，自然人参与的提供其合法登记证明文件； 投标文件中应提供：上述相关证件资料的复印件或扫描件并加盖供应商公章。</w:t>
      </w:r>
    </w:p>
    <w:p>
      <w:pPr>
        <w:pStyle w:val="null3"/>
      </w:pPr>
      <w:r>
        <w:rPr>
          <w:rFonts w:ascii="仿宋_GB2312" w:hAnsi="仿宋_GB2312" w:cs="仿宋_GB2312" w:eastAsia="仿宋_GB2312"/>
        </w:rPr>
        <w:t>2、提供健全的财务会计制度的证明材料：供应商提供2024年度财务审计报告（至少包括资产负债表、利润表、现金流量表及财务报表附注，成立时间至提交投标文件截止时间不足一年的可提供成立后任意时段的资产负债表）或投标前6个月内其基本存款账户开户银行出具的资信证明及基本存款账户开户证明资料，以上资料复印件或扫描件并加盖供应商公章。</w:t>
      </w:r>
    </w:p>
    <w:p>
      <w:pPr>
        <w:pStyle w:val="null3"/>
      </w:pPr>
      <w:r>
        <w:rPr>
          <w:rFonts w:ascii="仿宋_GB2312" w:hAnsi="仿宋_GB2312" w:cs="仿宋_GB2312" w:eastAsia="仿宋_GB2312"/>
        </w:rPr>
        <w:t>3、税收缴纳证明：提供2024年1月至今已缴纳任意1个月的纳税证明或完税证明，依法免税的单位应提供相关证明材料并加盖供应商公章。</w:t>
      </w:r>
    </w:p>
    <w:p>
      <w:pPr>
        <w:pStyle w:val="null3"/>
      </w:pPr>
      <w:r>
        <w:rPr>
          <w:rFonts w:ascii="仿宋_GB2312" w:hAnsi="仿宋_GB2312" w:cs="仿宋_GB2312" w:eastAsia="仿宋_GB2312"/>
        </w:rPr>
        <w:t>4、社会保障资金缴纳证明：提供2024年1月至今已缴纳任意1个月的社会保障资金缴存单据或社保机构开具的社会保险参保缴费情况证明，依法不需要缴纳社会保障资金的单位应提供相关证明材料并加盖供应商公章。</w:t>
      </w:r>
    </w:p>
    <w:p>
      <w:pPr>
        <w:pStyle w:val="null3"/>
      </w:pPr>
      <w:r>
        <w:rPr>
          <w:rFonts w:ascii="仿宋_GB2312" w:hAnsi="仿宋_GB2312" w:cs="仿宋_GB2312" w:eastAsia="仿宋_GB2312"/>
        </w:rPr>
        <w:t>5、具有履行合同所必需的设备和专业技术能力：提供具有履行合同所必需的设备和专业技术能力声明。</w:t>
      </w:r>
    </w:p>
    <w:p>
      <w:pPr>
        <w:pStyle w:val="null3"/>
      </w:pPr>
      <w:r>
        <w:rPr>
          <w:rFonts w:ascii="仿宋_GB2312" w:hAnsi="仿宋_GB2312" w:cs="仿宋_GB2312" w:eastAsia="仿宋_GB2312"/>
        </w:rPr>
        <w:t>6、供应商参加政府采购活动前三年内，在经营活动中无重大违法记录：供应商参加政府采购活动前三年内，在经营活动中无重大违法记录的书面声明（成立时间至提交响应文件截止时间不足三年的可提供成立至今的书面声明）。</w:t>
      </w:r>
    </w:p>
    <w:p>
      <w:pPr>
        <w:pStyle w:val="null3"/>
      </w:pPr>
      <w:r>
        <w:rPr>
          <w:rFonts w:ascii="仿宋_GB2312" w:hAnsi="仿宋_GB2312" w:cs="仿宋_GB2312" w:eastAsia="仿宋_GB2312"/>
        </w:rPr>
        <w:t>7、法定代表人身份证明/法定代表人授权委托书：法定代表人参加投标的，须提供法定代表人身份证明；法定代表人授权他人参加投标的，须提供法定代表人委托授权书；磋商文件中凡是需要法定代表人签字或盖章之处，非法人单位的负责人均参照执行。</w:t>
      </w:r>
    </w:p>
    <w:p>
      <w:pPr>
        <w:pStyle w:val="null3"/>
      </w:pPr>
      <w:r>
        <w:rPr>
          <w:rFonts w:ascii="仿宋_GB2312" w:hAnsi="仿宋_GB2312" w:cs="仿宋_GB2312" w:eastAsia="仿宋_GB2312"/>
        </w:rPr>
        <w:t>8、信用查询：供应商未被“信用中国”网站（www.creditchina.gov.cn）中列入失信被执行人和重大税收违法案件当事人名单的供应商，不得为中国政府采购网（www.ccgp.gov.cn）政府采购严重违法失信行为记录名单中被财政部门禁止参加政府采购活动的供应商。（磋商响应文件开启结束后，采购人或代理机构查询供应商在响应文件提交截止时间前的信用记录并保存信用记录结果网页截图）</w:t>
      </w:r>
    </w:p>
    <w:p>
      <w:pPr>
        <w:pStyle w:val="null3"/>
      </w:pPr>
      <w:r>
        <w:rPr>
          <w:rFonts w:ascii="仿宋_GB2312" w:hAnsi="仿宋_GB2312" w:cs="仿宋_GB2312" w:eastAsia="仿宋_GB2312"/>
        </w:rPr>
        <w:t>9、不接受联合体相关要求：本项目不接受联合体投标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陕西省公路局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西安市含光北路110号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029-88408457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陕西德欣源项目管理有限公司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陕西省西安市经济技术开发区文景路一方中港国际B座1701室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029-86109738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开户名称：陕西德欣源项目管理有限公司</w:t>
            </w:r>
          </w:p>
          <w:p>
            <w:pPr>
              <w:pStyle w:val="null3"/>
            </w:pPr>
            <w:r>
              <w:rPr>
                <w:rFonts w:ascii="仿宋_GB2312" w:hAnsi="仿宋_GB2312" w:cs="仿宋_GB2312" w:eastAsia="仿宋_GB2312"/>
              </w:rPr>
              <w:t>开户银行：中国建设银行股份有限公司西安凤城七路支行</w:t>
            </w:r>
          </w:p>
          <w:p>
            <w:pPr>
              <w:pStyle w:val="null3"/>
            </w:pPr>
            <w:r>
              <w:rPr>
                <w:rFonts w:ascii="仿宋_GB2312" w:hAnsi="仿宋_GB2312" w:cs="仿宋_GB2312" w:eastAsia="仿宋_GB2312"/>
              </w:rPr>
              <w:t>银行账号：61050110309109999888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说明：签订合同前，供应商向采购人交付合同金额5%的为履约保证金，乙方履行完全部合同义务，经验收合格无任何纠纷后的十五个工作日内无息退还。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代理服务费收费标准：代理服务费按照代理项目（中标）金额的1%计取。款项由中标/成交供应商在领取中标/成交通知书前一次性付清。 代理服务费账号信息如下： 公司名称：陕西德欣源项目管理有限公司； 开户行：中国建设银行股份有限公司西安凤城七路支行； 账号：61050110309109999888；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陕西省公路局</w:t>
      </w:r>
      <w:r>
        <w:rPr>
          <w:rFonts w:ascii="仿宋_GB2312" w:hAnsi="仿宋_GB2312" w:cs="仿宋_GB2312" w:eastAsia="仿宋_GB2312"/>
        </w:rPr>
        <w:t>和</w:t>
      </w:r>
      <w:r>
        <w:rPr>
          <w:rFonts w:ascii="仿宋_GB2312" w:hAnsi="仿宋_GB2312" w:cs="仿宋_GB2312" w:eastAsia="仿宋_GB2312"/>
        </w:rPr>
        <w:t>陕西德欣源项目管理有限公司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陕西省公路局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陕西德欣源项目管理有限公司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陕西省公路局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陕西德欣源项目管理有限公司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系统上线使用并稳定运行3个月后，由乙方向甲方提出验收申请，甲方组织验收。验收合格后，甲方向乙方出具项目验收单。</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陕西德欣源项目管理有限公司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陕西德欣源项目管理有限公司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陕西德欣源项目管理有限公司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联系电话：029-86109738</w:t>
      </w:r>
    </w:p>
    <w:p>
      <w:pPr>
        <w:pStyle w:val="null3"/>
      </w:pPr>
      <w:r>
        <w:rPr>
          <w:rFonts w:ascii="仿宋_GB2312" w:hAnsi="仿宋_GB2312" w:cs="仿宋_GB2312" w:eastAsia="仿宋_GB2312"/>
        </w:rPr>
        <w:t>地址：陕西省西安市经济技术开发区文景路一方中港国际B座1701室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借助现代信息技术，依托移动端轻量级应用，对陕西省公路综合业务管理平台内积累的各业务数据，定制一款满足省级统筹、市县使用的集轻量化、便捷化与智能化于一体的公路综合业务移动端，拓展数据接口和数据展示查询方式，优化提升数据展示服务，逐步实现公路行业管理的智能化升级、网络化互通以及便捷化操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陕西省公路综合业务管理平台数据展示提升服务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标段</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标的名称：陕西省公路综合业务管理平台数据展示提升服务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一、项目概况</w:t>
            </w:r>
          </w:p>
          <w:p>
            <w:pPr>
              <w:pStyle w:val="null3"/>
              <w:ind w:firstLine="400"/>
            </w:pPr>
            <w:r>
              <w:rPr>
                <w:rFonts w:ascii="仿宋_GB2312" w:hAnsi="仿宋_GB2312" w:cs="仿宋_GB2312" w:eastAsia="仿宋_GB2312"/>
              </w:rPr>
              <w:t>国家</w:t>
            </w:r>
            <w:r>
              <w:rPr>
                <w:rFonts w:ascii="仿宋_GB2312" w:hAnsi="仿宋_GB2312" w:cs="仿宋_GB2312" w:eastAsia="仿宋_GB2312"/>
              </w:rPr>
              <w:t>“交通强国”战略持续推进，交通运输部《数字交通发展规划纲要》明确提出“推动交通基础设施规划、设计、建造、养护、运行管理等全要素、全周期数字化”，“推动政务服务向‘两微一端’等延伸拓展”，公路管理数字化转型已成为必然趋势。本项目借助现代信息技术，依托移动端轻量级应用，对陕西省公路综合业务管理平台内积累的各业务数据，定制一款满足省级统筹、市县使用的集轻量化、便捷化与智能化于一体的公路综合业务移动端。移动端将逐步实现公路行业管理的智能化升级、网络化互通以及便捷化操作。此举致力于打破传统公路管理在时间和空间上的限制，确保公路管理各业务领域之间信息传递畅通，显著提升数据资源的管理水平与服务能力。</w:t>
            </w:r>
          </w:p>
          <w:p>
            <w:pPr>
              <w:pStyle w:val="null3"/>
            </w:pPr>
            <w:r>
              <w:rPr>
                <w:rFonts w:ascii="仿宋_GB2312" w:hAnsi="仿宋_GB2312" w:cs="仿宋_GB2312" w:eastAsia="仿宋_GB2312"/>
                <w:b/>
              </w:rPr>
              <w:t>二、服务内容</w:t>
            </w:r>
          </w:p>
          <w:p>
            <w:pPr>
              <w:pStyle w:val="null3"/>
              <w:ind w:firstLine="400"/>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扩展数据接口，接入相关数据</w:t>
            </w:r>
            <w:r>
              <w:rPr>
                <w:rFonts w:ascii="仿宋_GB2312" w:hAnsi="仿宋_GB2312" w:cs="仿宋_GB2312" w:eastAsia="仿宋_GB2312"/>
              </w:rPr>
              <w:t>。将陕西省公路综合业务管理平台与陕西省</w:t>
            </w:r>
            <w:r>
              <w:rPr>
                <w:rFonts w:ascii="仿宋_GB2312" w:hAnsi="仿宋_GB2312" w:cs="仿宋_GB2312" w:eastAsia="仿宋_GB2312"/>
              </w:rPr>
              <w:t>“以奖代补”考核数据支撑系统建立稳定的数据传输接口，确保平台能够及</w:t>
            </w:r>
            <w:r>
              <w:rPr>
                <w:rFonts w:ascii="仿宋_GB2312" w:hAnsi="仿宋_GB2312" w:cs="仿宋_GB2312" w:eastAsia="仿宋_GB2312"/>
              </w:rPr>
              <w:t>时接收和更新</w:t>
            </w:r>
            <w:r>
              <w:rPr>
                <w:rFonts w:ascii="仿宋_GB2312" w:hAnsi="仿宋_GB2312" w:cs="仿宋_GB2312" w:eastAsia="仿宋_GB2312"/>
              </w:rPr>
              <w:t>“以奖代补”成果数据与地图数据。</w:t>
            </w:r>
          </w:p>
          <w:p>
            <w:pPr>
              <w:pStyle w:val="null3"/>
              <w:ind w:firstLine="400"/>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陕西省公路综合业务管理平台便携移动端开发</w:t>
            </w:r>
            <w:r>
              <w:rPr>
                <w:rFonts w:ascii="仿宋_GB2312" w:hAnsi="仿宋_GB2312" w:cs="仿宋_GB2312" w:eastAsia="仿宋_GB2312"/>
              </w:rPr>
              <w:t>，</w:t>
            </w:r>
            <w:r>
              <w:rPr>
                <w:rFonts w:ascii="仿宋_GB2312" w:hAnsi="仿宋_GB2312" w:cs="仿宋_GB2312" w:eastAsia="仿宋_GB2312"/>
              </w:rPr>
              <w:t>拓展数据展示查询方式，</w:t>
            </w:r>
            <w:r>
              <w:rPr>
                <w:rFonts w:ascii="仿宋_GB2312" w:hAnsi="仿宋_GB2312" w:cs="仿宋_GB2312" w:eastAsia="仿宋_GB2312"/>
              </w:rPr>
              <w:t>优化</w:t>
            </w:r>
            <w:r>
              <w:rPr>
                <w:rFonts w:ascii="仿宋_GB2312" w:hAnsi="仿宋_GB2312" w:cs="仿宋_GB2312" w:eastAsia="仿宋_GB2312"/>
              </w:rPr>
              <w:t>提升</w:t>
            </w:r>
            <w:r>
              <w:rPr>
                <w:rFonts w:ascii="仿宋_GB2312" w:hAnsi="仿宋_GB2312" w:cs="仿宋_GB2312" w:eastAsia="仿宋_GB2312"/>
              </w:rPr>
              <w:t>数据展示</w:t>
            </w:r>
            <w:r>
              <w:rPr>
                <w:rFonts w:ascii="仿宋_GB2312" w:hAnsi="仿宋_GB2312" w:cs="仿宋_GB2312" w:eastAsia="仿宋_GB2312"/>
              </w:rPr>
              <w:t>服务</w:t>
            </w:r>
            <w:r>
              <w:rPr>
                <w:rFonts w:ascii="仿宋_GB2312" w:hAnsi="仿宋_GB2312" w:cs="仿宋_GB2312" w:eastAsia="仿宋_GB2312"/>
              </w:rPr>
              <w:t>。</w:t>
            </w:r>
            <w:r>
              <w:rPr>
                <w:rFonts w:ascii="仿宋_GB2312" w:hAnsi="仿宋_GB2312" w:cs="仿宋_GB2312" w:eastAsia="仿宋_GB2312"/>
              </w:rPr>
              <w:t>开发陕西省公路综合业务管理平台移动端驾驶舱，实现移动端与平台的后台数据库实时连接，支持多维度数据可视化展示，通过扇形图、柱状图、折线图等形式直观呈现各业务关键数据，结合地图，实现数据的空间化展示，满足数据查询、业务督导检查等需求。</w:t>
            </w:r>
          </w:p>
          <w:p>
            <w:pPr>
              <w:pStyle w:val="null3"/>
            </w:pPr>
            <w:r>
              <w:rPr>
                <w:rFonts w:ascii="仿宋_GB2312" w:hAnsi="仿宋_GB2312" w:cs="仿宋_GB2312" w:eastAsia="仿宋_GB2312"/>
                <w:b/>
              </w:rPr>
              <w:t>三</w:t>
            </w:r>
            <w:r>
              <w:rPr>
                <w:rFonts w:ascii="仿宋_GB2312" w:hAnsi="仿宋_GB2312" w:cs="仿宋_GB2312" w:eastAsia="仿宋_GB2312"/>
                <w:b/>
              </w:rPr>
              <w:t>、服务要求</w:t>
            </w:r>
          </w:p>
          <w:p>
            <w:pPr>
              <w:pStyle w:val="null3"/>
              <w:ind w:firstLine="400"/>
            </w:pPr>
            <w:r>
              <w:rPr>
                <w:rFonts w:ascii="仿宋_GB2312" w:hAnsi="仿宋_GB2312" w:cs="仿宋_GB2312" w:eastAsia="仿宋_GB2312"/>
              </w:rPr>
              <w:t>中标人应根据采购人提出的主要服务内容，明确</w:t>
            </w:r>
            <w:r>
              <w:rPr>
                <w:rFonts w:ascii="仿宋_GB2312" w:hAnsi="仿宋_GB2312" w:cs="仿宋_GB2312" w:eastAsia="仿宋_GB2312"/>
              </w:rPr>
              <w:t>相应的技术路线，以及足够的、相对固定的技术人员，作为完成本次服务内容的基本力量，明确内部管理模式，建立健全质量保证体系，保证方案编制工作质量和进度。参与人员应当陕西省公路综合业务管理平台与数据情况，具有较高的专业素质、较强的技术能力，能够遵守国家法律法规，坚持原则，恪守职业道德，客观公正，责任心强。</w:t>
            </w:r>
          </w:p>
          <w:p>
            <w:pPr>
              <w:pStyle w:val="null3"/>
            </w:pPr>
            <w:r>
              <w:rPr>
                <w:rFonts w:ascii="仿宋_GB2312" w:hAnsi="仿宋_GB2312" w:cs="仿宋_GB2312" w:eastAsia="仿宋_GB2312"/>
                <w:b/>
              </w:rPr>
              <w:t>四</w:t>
            </w:r>
            <w:r>
              <w:rPr>
                <w:rFonts w:ascii="仿宋_GB2312" w:hAnsi="仿宋_GB2312" w:cs="仿宋_GB2312" w:eastAsia="仿宋_GB2312"/>
                <w:b/>
              </w:rPr>
              <w:t>、</w:t>
            </w:r>
            <w:r>
              <w:rPr>
                <w:rFonts w:ascii="仿宋_GB2312" w:hAnsi="仿宋_GB2312" w:cs="仿宋_GB2312" w:eastAsia="仿宋_GB2312"/>
                <w:b/>
              </w:rPr>
              <w:t>提交</w:t>
            </w:r>
            <w:r>
              <w:rPr>
                <w:rFonts w:ascii="仿宋_GB2312" w:hAnsi="仿宋_GB2312" w:cs="仿宋_GB2312" w:eastAsia="仿宋_GB2312"/>
                <w:b/>
              </w:rPr>
              <w:t>成果</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陕西省公路综合业务管理平台数据展示提升服务总结报告；</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陕西省公路综合业务管理平台</w:t>
            </w:r>
            <w:r>
              <w:rPr>
                <w:rFonts w:ascii="仿宋_GB2312" w:hAnsi="仿宋_GB2312" w:cs="仿宋_GB2312" w:eastAsia="仿宋_GB2312"/>
              </w:rPr>
              <w:t>移动端</w:t>
            </w:r>
            <w:r>
              <w:rPr>
                <w:rFonts w:ascii="仿宋_GB2312" w:hAnsi="仿宋_GB2312" w:cs="仿宋_GB2312" w:eastAsia="仿宋_GB2312"/>
              </w:rPr>
              <w:t>APP</w:t>
            </w:r>
            <w:r>
              <w:rPr>
                <w:rFonts w:ascii="仿宋_GB2312" w:hAnsi="仿宋_GB2312" w:cs="仿宋_GB2312" w:eastAsia="仿宋_GB2312"/>
              </w:rPr>
              <w:t>。</w:t>
            </w:r>
          </w:p>
          <w:p>
            <w:pPr>
              <w:pStyle w:val="null3"/>
            </w:pPr>
            <w:r>
              <w:rPr>
                <w:rFonts w:ascii="仿宋_GB2312" w:hAnsi="仿宋_GB2312" w:cs="仿宋_GB2312" w:eastAsia="仿宋_GB2312"/>
                <w:b/>
              </w:rPr>
              <w:t>五</w:t>
            </w:r>
            <w:r>
              <w:rPr>
                <w:rFonts w:ascii="仿宋_GB2312" w:hAnsi="仿宋_GB2312" w:cs="仿宋_GB2312" w:eastAsia="仿宋_GB2312"/>
                <w:b/>
              </w:rPr>
              <w:t>、</w:t>
            </w:r>
            <w:r>
              <w:rPr>
                <w:rFonts w:ascii="仿宋_GB2312" w:hAnsi="仿宋_GB2312" w:cs="仿宋_GB2312" w:eastAsia="仿宋_GB2312"/>
                <w:b/>
              </w:rPr>
              <w:t>服务期限</w:t>
            </w:r>
          </w:p>
          <w:p>
            <w:pPr>
              <w:pStyle w:val="null3"/>
              <w:jc w:val="both"/>
            </w:pPr>
            <w:r>
              <w:rPr>
                <w:rFonts w:ascii="仿宋_GB2312" w:hAnsi="仿宋_GB2312" w:cs="仿宋_GB2312" w:eastAsia="仿宋_GB2312"/>
              </w:rPr>
              <w:t>自合同签订之日起一年。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人员配备应齐全、合理，满足项目服务要求。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系统上线使用并稳定运行3个月后，由乙方向甲方提出验收申请，甲方组织验收。验收合格后，甲方向乙方出具项目验收单。 验收依据：①签订的合同文本；②竞争性磋商文件及中标单位的竞争性磋商响应文件；③国家相应的标准、规范。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甲方收到乙方缴纳的履约保证金及开具的等额增值税普通发票后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2025年12月10日前，甲方收到乙方开具的等额增值税普通发票及乙方提交该项目年度工作报告</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磋商保证金转账时请注明费用信息“SXDXYZB2025-005-12项目保证金”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2024年度财务审计报告（至少包括资产负债表、利润表、现金流量表及财务报表附注，成立时间至提交投标文件截止时间不足一年的可提供成立后任意时段的资产负债表）或投标前6个月内其基本存款账户开户银行出具的资信证明及基本存款账户开户证明资料，以上资料复印件或扫描件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 （监狱企业与残疾人福利性单位视同小型、微型企业）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营业执照等主体证明</w:t>
            </w:r>
          </w:p>
        </w:tc>
        <w:tc>
          <w:tcPr>
            <w:tcW w:type="dxa" w:w="3322"/>
          </w:tcPr>
          <w:p>
            <w:pPr>
              <w:pStyle w:val="null3"/>
            </w:pPr>
            <w:r>
              <w:rPr>
                <w:rFonts w:ascii="仿宋_GB2312" w:hAnsi="仿宋_GB2312" w:cs="仿宋_GB2312" w:eastAsia="仿宋_GB2312"/>
              </w:rPr>
              <w:t>供应商具有独立承担民事责任能力的法人、其他组织或自然人，并出具合法有效的营业执照或事业单位法人证书等国家规定的相关证明，自然人参与的提供其合法登记证明文件； 投标文件中应提供：上述相关证件资料的复印件或扫描件并加盖供应商公章。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提供健全的财务会计制度的证明材料</w:t>
            </w:r>
          </w:p>
        </w:tc>
        <w:tc>
          <w:tcPr>
            <w:tcW w:type="dxa" w:w="3322"/>
          </w:tcPr>
          <w:p>
            <w:pPr>
              <w:pStyle w:val="null3"/>
            </w:pPr>
            <w:r>
              <w:rPr>
                <w:rFonts w:ascii="仿宋_GB2312" w:hAnsi="仿宋_GB2312" w:cs="仿宋_GB2312" w:eastAsia="仿宋_GB2312"/>
              </w:rPr>
              <w:t>供应商提供2024年度财务审计报告（至少包括资产负债表、利润表、现金流量表及财务报表附注，成立时间至提交投标文件截止时间不足一年的可提供成立后任意时段的资产负债表）或投标前6个月内其基本存款账户开户银行出具的资信证明及基本存款账户开户证明资料，以上资料复印件或扫描件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提供2024年1月至今已缴纳任意1个月的纳税证明或完税证明，依法免税的单位应提供相关证明材料并加盖供应商公章。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提供2024年1月至今已缴纳任意1个月的社会保障资金缴存单据或社保机构开具的社会保险参保缴费情况证明，依法不需要缴纳社会保障资金的单位应提供相关证明材料并加盖供应商公章。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供应商参加政府采购活动前三年内，在经营活动中无重大违法记录</w:t>
            </w:r>
          </w:p>
        </w:tc>
        <w:tc>
          <w:tcPr>
            <w:tcW w:type="dxa" w:w="3322"/>
          </w:tcPr>
          <w:p>
            <w:pPr>
              <w:pStyle w:val="null3"/>
            </w:pPr>
            <w:r>
              <w:rPr>
                <w:rFonts w:ascii="仿宋_GB2312" w:hAnsi="仿宋_GB2312" w:cs="仿宋_GB2312" w:eastAsia="仿宋_GB2312"/>
              </w:rPr>
              <w:t>供应商参加政府采购活动前三年内，在经营活动中无重大违法记录的书面声明（成立时间至提交响应文件截止时间不足三年的可提供成立至今的书面声明）。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法定代表人参加投标的，须提供法定代表人身份证明；法定代表人授权他人参加投标的，须提供法定代表人委托授权书；磋商文件中凡是需要法定代表人签字或盖章之处，非法人单位的负责人均参照执行。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信用中国”网站（www.creditchina.gov.cn）中列入失信被执行人和重大税收违法案件当事人名单的供应商，不得为中国政府采购网（www.ccgp.gov.cn）政府采购严重违法失信行为记录名单中被财政部门禁止参加政府采购活动的供应商。（磋商响应文件开启结束后，采购人或代理机构查询供应商在响应文件提交截止时间前的信用记录并保存信用记录结果网页截图）</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不接受联合体相关要求</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（1）货币单位符合磋商文件要求 （2）报价符合唯一性要求 （3）未超出采购包最高限价 （4）符合《报价表》《分项报价表》的填报要求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完全响应磋商文件要求的各项技术及服务、商务实质性条款。</w:t>
            </w:r>
          </w:p>
        </w:tc>
        <w:tc>
          <w:tcPr>
            <w:tcW w:type="dxa" w:w="1661"/>
          </w:tcPr>
          <w:p>
            <w:pPr>
              <w:pStyle w:val="null3"/>
            </w:pPr>
            <w:r>
              <w:rPr>
                <w:rFonts w:ascii="仿宋_GB2312" w:hAnsi="仿宋_GB2312" w:cs="仿宋_GB2312" w:eastAsia="仿宋_GB2312"/>
              </w:rPr>
              <w:t>服务内容及服务邀请应答表 商务应答表 服务方案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签章均符合磋商文件要求，且无遗漏。</w:t>
            </w:r>
          </w:p>
        </w:tc>
        <w:tc>
          <w:tcPr>
            <w:tcW w:type="dxa" w:w="1661"/>
          </w:tcPr>
          <w:p>
            <w:pPr>
              <w:pStyle w:val="null3"/>
            </w:pPr>
            <w:r>
              <w:rPr>
                <w:rFonts w:ascii="仿宋_GB2312" w:hAnsi="仿宋_GB2312" w:cs="仿宋_GB2312" w:eastAsia="仿宋_GB2312"/>
              </w:rPr>
              <w:t>响应文件封面 磋商保证金汇款声明函 服务内容及服务邀请应答表 中小企业声明函 残疾人福利性单位声明函 商务应答表 服务方案 标的清单 供应商应提交的相关资格证明材料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供应商是否提交磋商保证金交纳凭证银行汇（存）款回执单（复印件须加盖投标人公章）或担保函</w:t>
            </w:r>
          </w:p>
        </w:tc>
        <w:tc>
          <w:tcPr>
            <w:tcW w:type="dxa" w:w="1661"/>
          </w:tcPr>
          <w:p>
            <w:pPr>
              <w:pStyle w:val="null3"/>
            </w:pPr>
            <w:r>
              <w:rPr>
                <w:rFonts w:ascii="仿宋_GB2312" w:hAnsi="仿宋_GB2312" w:cs="仿宋_GB2312" w:eastAsia="仿宋_GB2312"/>
              </w:rPr>
              <w:t>磋商保证金汇款声明函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(1)评审内容 服务商针对本项目的整体服务方案，内容包含：①服务目标； ②服务实施步骤计划(服务工作流程)；③服务管理规章制度；④工作重点与难点分析及对应措施。 (2)评分标准 ①完整性：方案必须全面，对评审内容中的各项要求有详细描 述； ②可实施性：切合本项目实际情况，提出切实可行、合理的方案； ③针对性：方案能够紧扣项目实 际情况，内容科学合理。 (3)赋分标准(满分12分) ①服务目标：每完全满足一个评审标准得1分，满分3分； ②服务实施步骤计划：每完全满足一个评审标准得1分，满分3分； ③服务管理规章制度：每完全满足一个评审标准得1分，满分3分。 ④工作重点与难点分析及对应措施：每完全满足一个评审标准得1分，满分3分。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(1)评审内容 服务商针对本项目的服务保障措施，内容包含：①质量保障措施；②安全保障措施；③进度保障措施；④服务人员保障措施。 (2)评分标准 ①完整性：保障措施必须全面，对评审内容中的各项要求有详细描述； ②可实施性：切合本项目实际情况，提出切实可行、合理的保障措施； ③针对性：保障措施能够紧扣项目实际情况，内容科学合理。 (3)赋分标准(满分12分) ①质量保障措施：每完全满足一个评审标准得1分，满分3分； ②安全保障措施：每完全满足一个评审标准得1分，满分3分； ③进度保障措施：每完全满足一个评审标准得1分，满分3分； ④服务人员保障措施：每完全满足一个评审标准得1分，满分3分。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(1)项目经理 (4分) ①拟担任本项目的项目经理具有计算机软件或信息系统相关的高级职称或资格证书，得2分。 ②拟担任本项目的项目经理具有担任相关数据资源建设或数据核查服务的项目负责人或技术负责人的经验，得2分。 评审依据：须提供项目负责人的身份证、相关证书、业绩证明材料和磋商响应文件递交前3个月内任意1个月的社保缴纳证明或社保局出具的有效证明材料。未能提供有效证明材或证明材料 不完整的不计入评分。 （2）技术负责人（4分） ①拟担任本项目的技术负责人具有高级及以上职称或资格证书，得2分。 ②拟担任本项目的技术负责人具备担任相关数据资源建设或数据核查服务的项目负责人或技术负责人的经验，提供业绩证明材料，得2分。 评审依据：须提供技术负责人的身份证、相关证书和磋商响应文件递交前3个月内任意1个月的社保缴纳证明或社保局出具的有效证明材料。未能提供有效证明材或证明材料不完整的不计入评分。 (3)项目团队(8分) 除项目经理、技术负责人外，其他项目组成员中，具有软件设计、软件测评、数据安全、信息系统等相关职称或资格证书的人数不少于5人，满足条件得5分。 在此基础上，其他项目组成员中每额外增加1名具备相关专业职称或资格证书的成员，每人加1分，最多可累计加3分。评审依据：须提供所有项目组成员的身份证、相关证书和磋商响应文件递交前3个月内任意1个月的社保缴纳证明或社保局出具的有效证明材料。未能提供有效证明材或证明材料不完整的不计入评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服务人员组织方案</w:t>
            </w:r>
          </w:p>
        </w:tc>
        <w:tc>
          <w:tcPr>
            <w:tcW w:type="dxa" w:w="2492"/>
          </w:tcPr>
          <w:p>
            <w:pPr>
              <w:pStyle w:val="null3"/>
            </w:pPr>
            <w:r>
              <w:rPr>
                <w:rFonts w:ascii="仿宋_GB2312" w:hAnsi="仿宋_GB2312" w:cs="仿宋_GB2312" w:eastAsia="仿宋_GB2312"/>
              </w:rPr>
              <w:t>(1)评审内容 服务商针对本项目的服务人员组织方案，内容包含：①岗位工作职责及管理制度；②服务人员考核制度；③服务人员培训、日常教育计划。 (2)评分标准 ①完整性：方案必须全面，对评审内容中的各项要求有详细描述 ； ②可实施性：切合本项目实际情况，提出切实可行、合理的方案； ③针对性：方案能够紧扣项目实际情况，内容科学合理，人员配置符合本项目服务人员要求。 (3)赋分标准(满分9分) ①岗位工作职责及管理制度：每完全满足一个评审标准得1分，满分3分； ②服务人员考核制度：每完全满足一个评审标准得1分，满分3分； ③服务人员培训、日常教育计划：每完全满足一个评审标准得1分，满分3分。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(1)评审内容 服务商针对本项目的保密方案，内容包含：①保密管理制度；② 数据和信息安全保密措施；③保密承诺。 (2)评分标准 ①完整性：方案必须全面，对评审内容中的各项要求有详细描述 ； ②可实施性：切合本项目实际情况，提出切实可行、合理的方案； ③针对性：方案能够紧扣项目实际情况，内容科学合理。 (3)赋分标准(满分9分) ①保密管理制度：每完全满足一个评审标准得1分，满分3分； ②数据和信息安全保密措施：每完全满足一个评审标准得1分，满分3分； ③保密承诺：每完全满足一个评审标准得1分，满分3分。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(1)评审内容 服务商针对本项目的应急预案，内容包含：①应急预案及保障措施；②应急人员安排。 (2)评分标准 ①完整性：方案必须全面，对评审内容中的各项要求有详细描述； ②可实施性：切合本项目实际情况，提出切实可行、合理的方案； ③针对性：方案能够紧扣项目实际情况，内容科学合理。 (3)赋分标准(满分6分) ①应急预案及保障措施：每完全满足一个评审标准得1分，满分3分； ②应急人员安排：每完全满足一个评审标准得1分，满分3分；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 服务商针对本项目的服务承诺，内容包含：①服务质量承诺；② 故障响应及解决时间承诺；③本地化服务承诺。 (2)评分标准 ①完整性：服务承诺必须全面，对评审内容中的各项要求有详细描述； ②可实施性：切合本项目实际情况，提出切实可行、合理的服务承诺； ③针对性：服务承诺能够紧扣项目实际情况，内容科学合理。 (3)赋分标准(满分9分) ①服务质量承诺：每完全满足一个评审标准得1分，满分3分； ②故障响应及解决时间承诺：每完全满足一个评审标准得1分，满分3分； ③本地化服务承诺：每完全满足 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服务商需提供2022年1月1日以来独立承担过类似项目业绩，每个业绩计2分，最高计12分。 注：类似业绩以合同签订时间为准，未提供或不清晰导致无法识别的不予以认可。</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1.经资格审查、符合性审查合格的磋商响应文件，其磋商报价为有效磋商报价。 2.满足磋商文件实质性要求且最后报价最低的供应商的价格为磋商基准价，其价格分为满分15分。 3.磋商报价得分=(磋商基准价/最终磋商报价）×15的公式计算得分。 4.不正当竞争预防措施：在评审过程中,磋商小组认定某供应商的报价明显低于其他通过符合性审查供应商的报价，有可能影响服务质量或者不能诚信履约的,有权要求该供应商在磋商现场合理时间内，提供必要的书面文件予以解释和说明并附带相关证明材料。磋商单位书面说明应当签字确认或者加盖公章,否则无效。磋商单位拒绝或者变相拒绝提供有效书面说明或者书面说明不能证明其报价合理性的,磋商小组将按照其响应文件作为无效响应处理。（因落实政府采购政策进行价格调整的，以调整后的价格计算评标基准价和投标报价，详见磋商文件本部分政府采购政策评分标准，专门面向中小企业采购的项目或者采购包，不再执行价格评审优惠的扶持政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详见附件：磋商保证金汇款声明函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