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版本号：DLZB-2025-060120250613001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实验室能力提升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DLZB-2025-0601</w:t>
      </w:r>
      <w:r>
        <w:br/>
      </w:r>
      <w:r>
        <w:br/>
      </w:r>
      <w:r>
        <w:br/>
      </w:r>
    </w:p>
    <w:p>
      <w:pPr>
        <w:pStyle w:val="null3"/>
        <w:jc w:val="center"/>
        <w:outlineLvl w:val="2"/>
      </w:pPr>
      <w:r>
        <w:rPr>
          <w:rFonts w:ascii="仿宋_GB2312" w:hAnsi="仿宋_GB2312" w:cs="仿宋_GB2312" w:eastAsia="仿宋_GB2312"/>
          <w:sz w:val="28"/>
          <w:b/>
        </w:rPr>
        <w:t>陕西省特种设备检验检测研究院</w:t>
      </w:r>
    </w:p>
    <w:p>
      <w:pPr>
        <w:pStyle w:val="null3"/>
        <w:jc w:val="center"/>
        <w:outlineLvl w:val="2"/>
      </w:pPr>
      <w:r>
        <w:rPr>
          <w:rFonts w:ascii="仿宋_GB2312" w:hAnsi="仿宋_GB2312" w:cs="仿宋_GB2312" w:eastAsia="仿宋_GB2312"/>
          <w:sz w:val="28"/>
          <w:b/>
        </w:rPr>
        <w:t>典亮工程项目管理有限公司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2025年06月13日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典亮工程项目管理有限公司</w:t>
      </w:r>
      <w:r>
        <w:rPr>
          <w:rFonts w:ascii="仿宋_GB2312" w:hAnsi="仿宋_GB2312" w:cs="仿宋_GB2312" w:eastAsia="仿宋_GB2312"/>
        </w:rPr>
        <w:t>（以下简称“代理机构”）受</w:t>
      </w:r>
      <w:r>
        <w:rPr>
          <w:rFonts w:ascii="仿宋_GB2312" w:hAnsi="仿宋_GB2312" w:cs="仿宋_GB2312" w:eastAsia="仿宋_GB2312"/>
        </w:rPr>
        <w:t>陕西省特种设备检验检测研究院</w:t>
      </w:r>
      <w:r>
        <w:rPr>
          <w:rFonts w:ascii="仿宋_GB2312" w:hAnsi="仿宋_GB2312" w:cs="仿宋_GB2312" w:eastAsia="仿宋_GB2312"/>
        </w:rPr>
        <w:t>委托，拟对</w:t>
      </w:r>
      <w:r>
        <w:rPr>
          <w:rFonts w:ascii="仿宋_GB2312" w:hAnsi="仿宋_GB2312" w:cs="仿宋_GB2312" w:eastAsia="仿宋_GB2312"/>
        </w:rPr>
        <w:t>实验室能力提升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DLZB-2025-0601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实验室能力提升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实验室能力提升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1、法定代表人或其授权委托书：法定代表人授权委托书（附法定代表人身份证复印件及被授权人身份证复印件）；法定代表人直接参加投标只须提供法定代表人资格证明书（附法定代表人身份证复印件）。</w:t>
      </w:r>
    </w:p>
    <w:p>
      <w:pPr>
        <w:pStyle w:val="null3"/>
      </w:pPr>
      <w:r>
        <w:rPr>
          <w:rFonts w:ascii="仿宋_GB2312" w:hAnsi="仿宋_GB2312" w:cs="仿宋_GB2312" w:eastAsia="仿宋_GB2312"/>
        </w:rPr>
        <w:t>2、信用记录：投标人不得为“信用中国”网站（www.creditchina.gov.cn）中列入失信被执行人和重大税收违法失信主体，不得为中国政府采购网（www.ccgp.gov.cn）政府采购严重违法失信行为记录名单中被财政部门禁止参加政府采购活动的单位。</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陕西省特种设备检验检测研究院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西安市咸宁西路30号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029-82680740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典亮工程项目管理有限公司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西安市莲湖区南二环西段9号泊达国际酒店27楼东户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佘翠、李博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029-87613089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采购包1：828,200.00元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开户名称：典亮工程项目管理有限公司</w:t>
            </w:r>
          </w:p>
          <w:p>
            <w:pPr>
              <w:pStyle w:val="null3"/>
            </w:pPr>
            <w:r>
              <w:rPr>
                <w:rFonts w:ascii="仿宋_GB2312" w:hAnsi="仿宋_GB2312" w:cs="仿宋_GB2312" w:eastAsia="仿宋_GB2312"/>
              </w:rPr>
              <w:t>开户银行：陕西秦农农村商业银行股份有限公司劳动南路支行</w:t>
            </w:r>
          </w:p>
          <w:p>
            <w:pPr>
              <w:pStyle w:val="null3"/>
            </w:pPr>
            <w:r>
              <w:rPr>
                <w:rFonts w:ascii="仿宋_GB2312" w:hAnsi="仿宋_GB2312" w:cs="仿宋_GB2312" w:eastAsia="仿宋_GB2312"/>
              </w:rPr>
              <w:t>银行账号：2701050701201000053069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代理服务费收费标准：中标人在领取中标通知书时，向典亮工程项目管理有限公司交纳招标代理服务费。服务费收费标准参照国家计委颁发的《招标代理服务收费管理暂行办法》（计价格〔2002〕1980 号）的有关规定按标准计取。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陕西省特种设备检验检测研究院</w:t>
      </w:r>
      <w:r>
        <w:rPr>
          <w:rFonts w:ascii="仿宋_GB2312" w:hAnsi="仿宋_GB2312" w:cs="仿宋_GB2312" w:eastAsia="仿宋_GB2312"/>
        </w:rPr>
        <w:t>和</w:t>
      </w:r>
      <w:r>
        <w:rPr>
          <w:rFonts w:ascii="仿宋_GB2312" w:hAnsi="仿宋_GB2312" w:cs="仿宋_GB2312" w:eastAsia="仿宋_GB2312"/>
        </w:rPr>
        <w:t>典亮工程项目管理有限公司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陕西省特种设备检验检测研究院</w:t>
      </w:r>
      <w:r>
        <w:rPr>
          <w:rFonts w:ascii="仿宋_GB2312" w:hAnsi="仿宋_GB2312" w:cs="仿宋_GB2312" w:eastAsia="仿宋_GB2312"/>
        </w:rPr>
        <w:t>负责解释。除上述招标文件内容，其他内容由</w:t>
      </w:r>
      <w:r>
        <w:rPr>
          <w:rFonts w:ascii="仿宋_GB2312" w:hAnsi="仿宋_GB2312" w:cs="仿宋_GB2312" w:eastAsia="仿宋_GB2312"/>
        </w:rPr>
        <w:t>典亮工程项目管理有限公司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陕西省特种设备检验检测研究院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典亮工程项目管理有限公司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符合现行的国家标准、行业标准、项目合同约定以及相关技术标准的各项要求，符合采购人要求。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典亮工程项目管理有限公司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典亮工程项目管理有限公司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典亮工程项目管理有限公司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联系人：佘翠</w:t>
      </w:r>
    </w:p>
    <w:p>
      <w:pPr>
        <w:pStyle w:val="null3"/>
      </w:pPr>
      <w:r>
        <w:rPr>
          <w:rFonts w:ascii="仿宋_GB2312" w:hAnsi="仿宋_GB2312" w:cs="仿宋_GB2312" w:eastAsia="仿宋_GB2312"/>
        </w:rPr>
        <w:t>联系电话：18292846350</w:t>
      </w:r>
    </w:p>
    <w:p>
      <w:pPr>
        <w:pStyle w:val="null3"/>
      </w:pPr>
      <w:r>
        <w:rPr>
          <w:rFonts w:ascii="仿宋_GB2312" w:hAnsi="仿宋_GB2312" w:cs="仿宋_GB2312" w:eastAsia="仿宋_GB2312"/>
        </w:rPr>
        <w:t>地址：西安市莲湖区南二环西段9号泊达国际酒店27楼东户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本实验大楼作为陕西省特种设备安全技术研究与检测核心基地，涉及精密仪器设备、危险化学品及特殊废弃物管理，对环境安全与设备稳定性要求严苛。本项目为实验室能力提升。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828,200.00</w:t>
      </w:r>
    </w:p>
    <w:p>
      <w:pPr>
        <w:pStyle w:val="null3"/>
      </w:pPr>
      <w:r>
        <w:rPr>
          <w:rFonts w:ascii="仿宋_GB2312" w:hAnsi="仿宋_GB2312" w:cs="仿宋_GB2312" w:eastAsia="仿宋_GB2312"/>
        </w:rPr>
        <w:t>采购包最高限价（元）: 828,200.00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实验室能力提升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828,200.00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标的名称：实验室能力提升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一、项目背景</w:t>
            </w:r>
          </w:p>
          <w:p>
            <w:pPr>
              <w:pStyle w:val="null3"/>
              <w:ind w:firstLine="400"/>
              <w:jc w:val="both"/>
            </w:pPr>
            <w:r>
              <w:rPr>
                <w:rFonts w:ascii="仿宋_GB2312" w:hAnsi="仿宋_GB2312" w:cs="仿宋_GB2312" w:eastAsia="仿宋_GB2312"/>
                <w:sz w:val="20"/>
              </w:rPr>
              <w:t>本实验大楼作为陕西省特种设备安全技术研究与检测核心基地，涉及精密仪器设备、危险化学品及特殊废弃物管理，对环境安全与设备稳定性要求严苛。</w:t>
            </w:r>
          </w:p>
          <w:p>
            <w:pPr>
              <w:pStyle w:val="null3"/>
              <w:jc w:val="both"/>
            </w:pPr>
            <w:r>
              <w:rPr>
                <w:rFonts w:ascii="仿宋_GB2312" w:hAnsi="仿宋_GB2312" w:cs="仿宋_GB2312" w:eastAsia="仿宋_GB2312"/>
                <w:sz w:val="20"/>
              </w:rPr>
              <w:t>二、服务</w:t>
            </w:r>
            <w:r>
              <w:rPr>
                <w:rFonts w:ascii="仿宋_GB2312" w:hAnsi="仿宋_GB2312" w:cs="仿宋_GB2312" w:eastAsia="仿宋_GB2312"/>
                <w:sz w:val="20"/>
              </w:rPr>
              <w:t>内容</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精密仪器及药品存放区域实施</w:t>
            </w:r>
            <w:r>
              <w:rPr>
                <w:rFonts w:ascii="仿宋_GB2312" w:hAnsi="仿宋_GB2312" w:cs="仿宋_GB2312" w:eastAsia="仿宋_GB2312"/>
                <w:sz w:val="20"/>
              </w:rPr>
              <w:t>24小时环境监测，</w:t>
            </w:r>
            <w:r>
              <w:rPr>
                <w:rFonts w:ascii="仿宋_GB2312" w:hAnsi="仿宋_GB2312" w:cs="仿宋_GB2312" w:eastAsia="仿宋_GB2312"/>
                <w:sz w:val="20"/>
              </w:rPr>
              <w:t>涵盖温湿度等关键参数，确保环境条件符合设备运行</w:t>
            </w:r>
            <w:r>
              <w:rPr>
                <w:rFonts w:ascii="仿宋_GB2312" w:hAnsi="仿宋_GB2312" w:cs="仿宋_GB2312" w:eastAsia="仿宋_GB2312"/>
                <w:sz w:val="20"/>
              </w:rPr>
              <w:t>标准。</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实验区域执行防腐蚀清洁与消毒标准化作业流程，</w:t>
            </w:r>
            <w:r>
              <w:rPr>
                <w:rFonts w:ascii="仿宋_GB2312" w:hAnsi="仿宋_GB2312" w:cs="仿宋_GB2312" w:eastAsia="仿宋_GB2312"/>
                <w:sz w:val="20"/>
              </w:rPr>
              <w:t>保障实验室洁净。</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严格遵循《特种设备安全监察条例》，</w:t>
            </w:r>
            <w:r>
              <w:rPr>
                <w:rFonts w:ascii="仿宋_GB2312" w:hAnsi="仿宋_GB2312" w:cs="仿宋_GB2312" w:eastAsia="仿宋_GB2312"/>
                <w:sz w:val="20"/>
              </w:rPr>
              <w:t>协助做好</w:t>
            </w:r>
            <w:r>
              <w:rPr>
                <w:rFonts w:ascii="仿宋_GB2312" w:hAnsi="仿宋_GB2312" w:cs="仿宋_GB2312" w:eastAsia="仿宋_GB2312"/>
                <w:sz w:val="20"/>
              </w:rPr>
              <w:t>使用单位日常管理，</w:t>
            </w:r>
            <w:r>
              <w:rPr>
                <w:rFonts w:ascii="仿宋_GB2312" w:hAnsi="仿宋_GB2312" w:cs="仿宋_GB2312" w:eastAsia="仿宋_GB2312"/>
                <w:sz w:val="20"/>
              </w:rPr>
              <w:t>保障</w:t>
            </w:r>
            <w:r>
              <w:rPr>
                <w:rFonts w:ascii="仿宋_GB2312" w:hAnsi="仿宋_GB2312" w:cs="仿宋_GB2312" w:eastAsia="仿宋_GB2312"/>
                <w:sz w:val="20"/>
              </w:rPr>
              <w:t>特种</w:t>
            </w:r>
            <w:r>
              <w:rPr>
                <w:rFonts w:ascii="仿宋_GB2312" w:hAnsi="仿宋_GB2312" w:cs="仿宋_GB2312" w:eastAsia="仿宋_GB2312"/>
                <w:sz w:val="20"/>
              </w:rPr>
              <w:t>设备安全运行。</w:t>
            </w:r>
          </w:p>
          <w:p>
            <w:pPr>
              <w:pStyle w:val="null3"/>
              <w:ind w:left="420"/>
              <w:jc w:val="both"/>
            </w:pPr>
            <w:r>
              <w:rPr>
                <w:rFonts w:ascii="仿宋_GB2312" w:hAnsi="仿宋_GB2312" w:cs="仿宋_GB2312" w:eastAsia="仿宋_GB2312"/>
                <w:sz w:val="20"/>
              </w:rPr>
              <w:t>4.实验楼消防系统实施日常巡检与应急演练，建立</w:t>
            </w:r>
            <w:r>
              <w:rPr>
                <w:rFonts w:ascii="仿宋_GB2312" w:hAnsi="仿宋_GB2312" w:cs="仿宋_GB2312" w:eastAsia="仿宋_GB2312"/>
                <w:sz w:val="20"/>
              </w:rPr>
              <w:t>应急预案并定期更新，保障消防设施正常运行。</w:t>
            </w:r>
            <w:r>
              <w:rPr>
                <w:rFonts w:ascii="仿宋_GB2312" w:hAnsi="仿宋_GB2312" w:cs="仿宋_GB2312" w:eastAsia="仿宋_GB2312"/>
                <w:sz w:val="20"/>
              </w:rPr>
              <w:t>人员出入实施管控，</w:t>
            </w:r>
          </w:p>
          <w:p>
            <w:pPr>
              <w:pStyle w:val="null3"/>
              <w:ind w:left="420"/>
              <w:jc w:val="both"/>
            </w:pPr>
            <w:r>
              <w:rPr>
                <w:rFonts w:ascii="仿宋_GB2312" w:hAnsi="仿宋_GB2312" w:cs="仿宋_GB2312" w:eastAsia="仿宋_GB2312"/>
                <w:sz w:val="20"/>
              </w:rPr>
              <w:t>结合生物识别技术实现实验室准</w:t>
            </w:r>
            <w:r>
              <w:rPr>
                <w:rFonts w:ascii="仿宋_GB2312" w:hAnsi="仿宋_GB2312" w:cs="仿宋_GB2312" w:eastAsia="仿宋_GB2312"/>
                <w:sz w:val="20"/>
              </w:rPr>
              <w:t>入控制，强化安全管理。</w:t>
            </w:r>
          </w:p>
          <w:p>
            <w:pPr>
              <w:pStyle w:val="null3"/>
              <w:ind w:left="420"/>
              <w:jc w:val="both"/>
            </w:pPr>
            <w:r>
              <w:rPr>
                <w:rFonts w:ascii="仿宋_GB2312" w:hAnsi="仿宋_GB2312" w:cs="仿宋_GB2312" w:eastAsia="仿宋_GB2312"/>
                <w:sz w:val="20"/>
              </w:rPr>
              <w:t>5.根</w:t>
            </w:r>
            <w:r>
              <w:rPr>
                <w:rFonts w:ascii="仿宋_GB2312" w:hAnsi="仿宋_GB2312" w:cs="仿宋_GB2312" w:eastAsia="仿宋_GB2312"/>
                <w:sz w:val="20"/>
              </w:rPr>
              <w:t>据本项目需求须</w:t>
            </w:r>
            <w:r>
              <w:rPr>
                <w:rFonts w:ascii="仿宋_GB2312" w:hAnsi="仿宋_GB2312" w:cs="仿宋_GB2312" w:eastAsia="仿宋_GB2312"/>
                <w:sz w:val="20"/>
              </w:rPr>
              <w:t>配置</w:t>
            </w:r>
            <w:r>
              <w:rPr>
                <w:rFonts w:ascii="仿宋_GB2312" w:hAnsi="仿宋_GB2312" w:cs="仿宋_GB2312" w:eastAsia="仿宋_GB2312"/>
                <w:sz w:val="20"/>
              </w:rPr>
              <w:t>1名驻场</w:t>
            </w:r>
            <w:r>
              <w:rPr>
                <w:rFonts w:ascii="仿宋_GB2312" w:hAnsi="仿宋_GB2312" w:cs="仿宋_GB2312" w:eastAsia="仿宋_GB2312"/>
                <w:sz w:val="20"/>
              </w:rPr>
              <w:t>管理人员</w:t>
            </w:r>
            <w:r>
              <w:rPr>
                <w:rFonts w:ascii="仿宋_GB2312" w:hAnsi="仿宋_GB2312" w:cs="仿宋_GB2312" w:eastAsia="仿宋_GB2312"/>
                <w:sz w:val="20"/>
              </w:rPr>
              <w:t>及</w:t>
            </w:r>
            <w:r>
              <w:rPr>
                <w:rFonts w:ascii="仿宋_GB2312" w:hAnsi="仿宋_GB2312" w:cs="仿宋_GB2312" w:eastAsia="仿宋_GB2312"/>
                <w:sz w:val="20"/>
              </w:rPr>
              <w:t>9名</w:t>
            </w:r>
            <w:r>
              <w:rPr>
                <w:rFonts w:ascii="仿宋_GB2312" w:hAnsi="仿宋_GB2312" w:cs="仿宋_GB2312" w:eastAsia="仿宋_GB2312"/>
                <w:sz w:val="20"/>
              </w:rPr>
              <w:t>服务</w:t>
            </w:r>
            <w:r>
              <w:rPr>
                <w:rFonts w:ascii="仿宋_GB2312" w:hAnsi="仿宋_GB2312" w:cs="仿宋_GB2312" w:eastAsia="仿宋_GB2312"/>
                <w:sz w:val="20"/>
              </w:rPr>
              <w:t>人员，统筹规划服务资源，确保服务响应高效精准。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投标人须配置1名驻场管理人员及9名服务人员，统筹规划服务资源，确保服务响应高效精准。</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根据服务内容及要求提供。</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根据服务内容及要求提供。</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自合同签订之日起1年完成本项目工作内容（一次招标，三年沿用，每年度考核合格后，合同续签）。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符合现行的国家标准、行业标准、项目合同约定以及相关技术标准的各项要求，符合采购人要求。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合同签订后，每季度末付款一次，付款比例为合同金额的25%</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按项目合同执行。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1.由于政府采购系统设置，本项目付款方式为：合同签订后，每季度末付款一次，达到付款条件起10日内，支付合同总金额的25.00%，付完为止。 2.纸质版投标文件要求： （1）中标人须提交纸质版投标文件（胶装）：正本壹份、副本贰份、电子版壹份（U盘、标明投标人名称），电子版文件包含Word版本和PDF版本。 （2）纸质版投标文件递交时间：中标（成交）结果公告公示期结束后。 （3）纸质版投标文件递交地址：西安市莲湖区南二环西段9号泊达国际酒店27楼东户。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2.投标人须提供2024年11月至今已缴纳的至少一个月的纳税证明或完税证明（以税款所属日期为准），依法免税的单位应提供相关证明材料。 3.投标人须提供2024年11月至今已缴纳的至少一个月的社会保障资金缴存凭证或社保机构开具的社会保险参保证明，依法不需要缴纳社会保障资金的单位应提供相关证明材料。 4.投标人须提供具有履行合同所必需的设备和专业技术能力的承诺。 5.投标人须提供参加政府采购活动前3年内，在经营活动中没有重大违法记录的书面声明。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其他应说明的事项.docx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须提供经财务审计资质单位出具的完整赋码的2023年度或2024年度财务报告（成立时间至投标文件递交截止时间不足一年的可提供成立后任意时段的资产负债表）或投标文件递交截止时间前六个月内其基本账户开户银行出具的资信证明。</w:t>
            </w:r>
          </w:p>
        </w:tc>
        <w:tc>
          <w:tcPr>
            <w:tcW w:type="dxa" w:w="1661"/>
          </w:tcPr>
          <w:p>
            <w:pPr>
              <w:pStyle w:val="null3"/>
            </w:pPr>
            <w:r>
              <w:rPr>
                <w:rFonts w:ascii="仿宋_GB2312" w:hAnsi="仿宋_GB2312" w:cs="仿宋_GB2312" w:eastAsia="仿宋_GB2312"/>
              </w:rPr>
              <w:t>其他应说明的事项.docx 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其他应说明的事项.docx 投标人资格证明文件.docx 投标人承诺书.docx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法定代表人或其授权委托书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法定代表人授权委托书（附法定代表人身份证复印件及被授权人身份证复印件）；法定代表人直接参加投标只须提供法定代表人资格证明书（附法定代表人身份证复印件）。</w:t>
            </w:r>
          </w:p>
        </w:tc>
        <w:tc>
          <w:tcPr>
            <w:tcW w:type="dxa" w:w="1661"/>
          </w:tcPr>
          <w:p>
            <w:pPr>
              <w:pStyle w:val="null3"/>
            </w:pPr>
            <w:r>
              <w:rPr>
                <w:rFonts w:ascii="仿宋_GB2312" w:hAnsi="仿宋_GB2312" w:cs="仿宋_GB2312" w:eastAsia="仿宋_GB2312"/>
              </w:rPr>
              <w:t>其他应说明的事项.docx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不得为中国政府采购网（www.ccgp.gov.cn）政府采购严重违法失信行为记录名单中被财政部门禁止参加政府采购活动的单位。</w:t>
            </w:r>
          </w:p>
        </w:tc>
        <w:tc>
          <w:tcPr>
            <w:tcW w:type="dxa" w:w="1661"/>
          </w:tcPr>
          <w:p>
            <w:pPr>
              <w:pStyle w:val="null3"/>
            </w:pPr>
            <w:r>
              <w:rPr>
                <w:rFonts w:ascii="仿宋_GB2312" w:hAnsi="仿宋_GB2312" w:cs="仿宋_GB2312" w:eastAsia="仿宋_GB2312"/>
              </w:rPr>
              <w:t>其他应说明的事项.docx 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服务内容及服务邀请应答表 其他应说明的事项.docx 中小企业声明函 标的清单 投标人资格证明文件.docx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投标文件的签字、盖章符合招标文件要求。</w:t>
            </w:r>
          </w:p>
        </w:tc>
        <w:tc>
          <w:tcPr>
            <w:tcW w:type="dxa" w:w="1661"/>
          </w:tcPr>
          <w:p>
            <w:pPr>
              <w:pStyle w:val="null3"/>
            </w:pPr>
            <w:r>
              <w:rPr>
                <w:rFonts w:ascii="仿宋_GB2312" w:hAnsi="仿宋_GB2312" w:cs="仿宋_GB2312" w:eastAsia="仿宋_GB2312"/>
              </w:rPr>
              <w:t>开标一览表 投标函 标的清单 投标人资格证明文件.docx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投标保证金符合招标文件要求。</w:t>
            </w:r>
          </w:p>
        </w:tc>
        <w:tc>
          <w:tcPr>
            <w:tcW w:type="dxa" w:w="1661"/>
          </w:tcPr>
          <w:p>
            <w:pPr>
              <w:pStyle w:val="null3"/>
            </w:pPr>
            <w:r>
              <w:rPr>
                <w:rFonts w:ascii="仿宋_GB2312" w:hAnsi="仿宋_GB2312" w:cs="仿宋_GB2312" w:eastAsia="仿宋_GB2312"/>
              </w:rPr>
              <w:t>其他应说明的事项.docx 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投标报价是否超过采购预算和最高限价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投标有效期符合招标文件要求。</w:t>
            </w:r>
          </w:p>
        </w:tc>
        <w:tc>
          <w:tcPr>
            <w:tcW w:type="dxa" w:w="1661"/>
          </w:tcPr>
          <w:p>
            <w:pPr>
              <w:pStyle w:val="null3"/>
            </w:pPr>
            <w:r>
              <w:rPr>
                <w:rFonts w:ascii="仿宋_GB2312" w:hAnsi="仿宋_GB2312" w:cs="仿宋_GB2312" w:eastAsia="仿宋_GB2312"/>
              </w:rPr>
              <w:t>标的清单 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招标项目技术、服务、商务及其他要求</w:t>
            </w:r>
          </w:p>
        </w:tc>
        <w:tc>
          <w:tcPr>
            <w:tcW w:type="dxa" w:w="3322"/>
          </w:tcPr>
          <w:p>
            <w:pPr>
              <w:pStyle w:val="null3"/>
            </w:pPr>
            <w:r>
              <w:rPr>
                <w:rFonts w:ascii="仿宋_GB2312" w:hAnsi="仿宋_GB2312" w:cs="仿宋_GB2312" w:eastAsia="仿宋_GB2312"/>
              </w:rPr>
              <w:t>符合招标文件要求，不得含有采购人不能接受的附加条款。</w:t>
            </w:r>
          </w:p>
        </w:tc>
        <w:tc>
          <w:tcPr>
            <w:tcW w:type="dxa" w:w="1661"/>
          </w:tcPr>
          <w:p>
            <w:pPr>
              <w:pStyle w:val="null3"/>
            </w:pPr>
            <w:r>
              <w:rPr>
                <w:rFonts w:ascii="仿宋_GB2312" w:hAnsi="仿宋_GB2312" w:cs="仿宋_GB2312" w:eastAsia="仿宋_GB2312"/>
              </w:rPr>
              <w:t>服务内容及服务邀请应答表 其他应说明的事项.docx 商务应答表.docx 服务方案.docx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1）评审内容：①工作安排；②进度计划；③重难点分析；④合理化建议。（2）评审标准：上述各部分内容全面详细、阐述条理清晰详尽、符合且针对本项目采购需求得20分，每缺一项内容扣5分，评审内容有缺陷的根据情况扣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其他应说明的事项.docx</w:t>
            </w:r>
          </w:p>
        </w:tc>
      </w:tr>
      <w:tr>
        <w:tc>
          <w:tcPr>
            <w:tcW w:type="dxa" w:w="831"/>
            <w:vMerge/>
          </w:tcPr>
          <w:p/>
        </w:tc>
        <w:tc>
          <w:tcPr>
            <w:tcW w:type="dxa" w:w="1661"/>
          </w:tcPr>
          <w:p>
            <w:pPr>
              <w:pStyle w:val="null3"/>
            </w:pPr>
            <w:r>
              <w:rPr>
                <w:rFonts w:ascii="仿宋_GB2312" w:hAnsi="仿宋_GB2312" w:cs="仿宋_GB2312" w:eastAsia="仿宋_GB2312"/>
              </w:rPr>
              <w:t>项目进驻服务方案</w:t>
            </w:r>
          </w:p>
        </w:tc>
        <w:tc>
          <w:tcPr>
            <w:tcW w:type="dxa" w:w="2492"/>
          </w:tcPr>
          <w:p>
            <w:pPr>
              <w:pStyle w:val="null3"/>
            </w:pPr>
            <w:r>
              <w:rPr>
                <w:rFonts w:ascii="仿宋_GB2312" w:hAnsi="仿宋_GB2312" w:cs="仿宋_GB2312" w:eastAsia="仿宋_GB2312"/>
              </w:rPr>
              <w:t>（1）评审内容：①实验大楼内消防安全的检查；②实验大楼内设施设备的检查与问题汇总；③大楼出入信息的核对、统计。 （2）评审标准：上述各部分内容全面详细、阐述条理清晰详尽、符合且针对本项目采购需求得15分，每缺一项内容扣5分，评审内容有缺陷的根据情况扣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其他应说明的事项.docx</w:t>
            </w:r>
          </w:p>
        </w:tc>
      </w:tr>
      <w:tr>
        <w:tc>
          <w:tcPr>
            <w:tcW w:type="dxa" w:w="831"/>
            <w:vMerge/>
          </w:tcPr>
          <w:p/>
        </w:tc>
        <w:tc>
          <w:tcPr>
            <w:tcW w:type="dxa" w:w="1661"/>
          </w:tcPr>
          <w:p>
            <w:pPr>
              <w:pStyle w:val="null3"/>
            </w:pPr>
            <w:r>
              <w:rPr>
                <w:rFonts w:ascii="仿宋_GB2312" w:hAnsi="仿宋_GB2312" w:cs="仿宋_GB2312" w:eastAsia="仿宋_GB2312"/>
              </w:rPr>
              <w:t>项目保障措施</w:t>
            </w:r>
          </w:p>
        </w:tc>
        <w:tc>
          <w:tcPr>
            <w:tcW w:type="dxa" w:w="2492"/>
          </w:tcPr>
          <w:p>
            <w:pPr>
              <w:pStyle w:val="null3"/>
            </w:pPr>
            <w:r>
              <w:rPr>
                <w:rFonts w:ascii="仿宋_GB2312" w:hAnsi="仿宋_GB2312" w:cs="仿宋_GB2312" w:eastAsia="仿宋_GB2312"/>
              </w:rPr>
              <w:t>（1）评审内容：①健全的内部管理制度；②质量保障措施；③项目实施过程中的设备、工具配备情况。 （2）评审标准：上述各部分内容全面详细、阐述条理清晰详尽、符合且针对本项目采购需求得15分，每缺一项内容扣5分，评审内容有缺陷的根据情况扣分，扣完为止。 “缺陷”是指：内容粗略、逻辑混乱、描述过于简单、与项目特点不匹配、凭空编造、逻辑漏洞、出现常识性错误、存在不适用项目实际情况的情形或只有标题没有实质性内容等。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其他应说明的事项.docx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（1）评审内容：①合同实施过程中不得更换人员的承诺；②项目实施过程中的保密承诺。 （2）评审标准：上述各部分承诺完全响应得5分，每缺一项内容扣2.5分，扣完为止。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其他应说明的事项.docx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（1）拟派项目团队配置人员（含项目负责人）具有特种设备安全管理证得2.5分，最高得5分。 （2）团队人员数量充足、专业配备合理得0-5分。 （3）提供有效资料复印件并加盖单位公章，未提供不得分。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其他应说明的事项.docx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（1）评审内容：①编制应急预案并保证定期更新，保障实验楼消防设施正常运行。；②实验大楼停水、停电的应急预案；③大楼其他相关区域及突发情况的应急预案。 （2）上述各部分内容全面详细、阐述条理清晰详尽、符合且针对本项目采购需求得15分，每缺一项内容扣5分，评审内容有缺陷的根据情况扣分，扣完为止。 “缺陷”是指：内容粗略、逻辑混乱、描述过于简单、与项目特点不匹配、凭空编造、逻辑漏洞、出现常识性错误、存在不适用项目实际情况的情形或只有标题没有实质性内容等。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其他应说明的事项.docx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投标人具有2022年1月1日至今 (以合同签订时间为准）同类项目业绩，投标文件中提供合同复印件加盖投标人公章，每提供一个得2分, 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其他应说明的事项.docx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满足招标文件要求且最终报价最低的投标人的价格为投标基准价，其价格分为满分。其他投标人的价格分统一按照下列公式计算：投标报价得分=（投标基准价/最终投标报价）×价格权值×100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详见附件：其他应说明的事项.docx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