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版本号：SZ8258-GP-SC-008F20250612001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2025年黄河流域水生态调查评估试点监测项目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SZ8258-GP-SC-008F</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2025年黄河流域水生态调查评估试点监测项目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SZ8258-GP-SC-008F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2025年黄河流域水生态调查评估试点监测项目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本项目为2025年黄河流域水生态调查评估试点监测项目，1项，具体内容详见采购文件。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1、具有独立承担民事责任能力的法人、其他组织或自然人：法人或者其他组织的营业执照等证明文件，自然人的身份证明。</w:t>
      </w:r>
    </w:p>
    <w:p>
      <w:pPr>
        <w:pStyle w:val="null3"/>
      </w:pPr>
      <w:r>
        <w:rPr>
          <w:rFonts w:ascii="仿宋_GB2312" w:hAnsi="仿宋_GB2312" w:cs="仿宋_GB2312" w:eastAsia="仿宋_GB2312"/>
        </w:rPr>
        <w:t>2、法定代表人身份证明或法定代表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3、财务状况报告：投标人提供2023年度或2024年度经审计的财务报告或投标截止日前三个月内开户银行出具的资信证明文件基本账户信息证明文件或财政部门认可的政府采购专业担保机构开具的投标担保函。</w:t>
      </w:r>
    </w:p>
    <w:p>
      <w:pPr>
        <w:pStyle w:val="null3"/>
      </w:pPr>
      <w:r>
        <w:rPr>
          <w:rFonts w:ascii="仿宋_GB2312" w:hAnsi="仿宋_GB2312" w:cs="仿宋_GB2312" w:eastAsia="仿宋_GB2312"/>
        </w:rPr>
        <w:t>4、税收缴纳证明：依法缴纳税收的良好记录（提供投标截止时间前六个月内任意一个月份依法纳税证明或无欠税证明）依法免税的投标人应提供相关资料证明。 ）</w:t>
      </w:r>
    </w:p>
    <w:p>
      <w:pPr>
        <w:pStyle w:val="null3"/>
      </w:pPr>
      <w:r>
        <w:rPr>
          <w:rFonts w:ascii="仿宋_GB2312" w:hAnsi="仿宋_GB2312" w:cs="仿宋_GB2312" w:eastAsia="仿宋_GB2312"/>
        </w:rPr>
        <w:t>5、社会保障资金缴纳证明：依法缴纳社会保障资金的良好记录（提供投标截止时间前六个月内任意一个月份的缴费证明资料）依法不需要缴纳社会保障资金的投标人应提供相关资料证明。</w:t>
      </w:r>
    </w:p>
    <w:p>
      <w:pPr>
        <w:pStyle w:val="null3"/>
      </w:pPr>
      <w:r>
        <w:rPr>
          <w:rFonts w:ascii="仿宋_GB2312" w:hAnsi="仿宋_GB2312" w:cs="仿宋_GB2312" w:eastAsia="仿宋_GB2312"/>
        </w:rPr>
        <w:t>6、承诺函：提供具有履行合同所必须的设备和专业技术能力 （提供承诺函）。</w:t>
      </w:r>
    </w:p>
    <w:p>
      <w:pPr>
        <w:pStyle w:val="null3"/>
      </w:pPr>
      <w:r>
        <w:rPr>
          <w:rFonts w:ascii="仿宋_GB2312" w:hAnsi="仿宋_GB2312" w:cs="仿宋_GB2312" w:eastAsia="仿宋_GB2312"/>
        </w:rPr>
        <w:t>7、书面声明：参加政府采购活动前三年内，在经营活动中没有重大违法记录的书面声明。</w:t>
      </w:r>
    </w:p>
    <w:p>
      <w:pPr>
        <w:pStyle w:val="null3"/>
      </w:pPr>
      <w:r>
        <w:rPr>
          <w:rFonts w:ascii="仿宋_GB2312" w:hAnsi="仿宋_GB2312" w:cs="仿宋_GB2312" w:eastAsia="仿宋_GB2312"/>
        </w:rPr>
        <w:t>8、信用截图：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陕西安市和平路108号佳腾大厦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李秋鹏，翟燕荣，朱颖华，孙东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029-87517633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采购包1：2,891,000.00元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开户名称：陕西省招标有限责任公司（资金性质：保证金专用账户）</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代理服务费收费标准：参照国家计委颁布的《招标代理服务收费管理暂行办法》（计价格[2002]1980号）和（发改办价格[2003]857号）收费标准。 收款账户如下： 收款单位：陕西省招标有限责任公司 开户银行：招商银行西安朝阳门支行 银行账号：129904242010801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采购包1：分包比例20%，分包履行的内容：本项目经采购人允许可进行分包；资质要求详见第4章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为贯彻落实党中央、国务院关于持续深入打好碧水保卫战相关部署，深入推进水资源、水环境、水生态系统治理，按照《</w:t>
      </w:r>
      <w:r>
        <w:rPr>
          <w:rFonts w:ascii="仿宋_GB2312" w:hAnsi="仿宋_GB2312" w:cs="仿宋_GB2312" w:eastAsia="仿宋_GB2312"/>
          <w:sz w:val="20"/>
        </w:rPr>
        <w:t>2020</w:t>
      </w:r>
      <w:r>
        <w:rPr>
          <w:rFonts w:ascii="仿宋_GB2312" w:hAnsi="仿宋_GB2312" w:cs="仿宋_GB2312" w:eastAsia="仿宋_GB2312"/>
          <w:sz w:val="20"/>
        </w:rPr>
        <w:t>年重点流域水生态状况调查监测方案》（环办监测函〔</w:t>
      </w:r>
      <w:r>
        <w:rPr>
          <w:rFonts w:ascii="仿宋_GB2312" w:hAnsi="仿宋_GB2312" w:cs="仿宋_GB2312" w:eastAsia="仿宋_GB2312"/>
          <w:sz w:val="20"/>
        </w:rPr>
        <w:t>2020</w:t>
      </w:r>
      <w:r>
        <w:rPr>
          <w:rFonts w:ascii="仿宋_GB2312" w:hAnsi="仿宋_GB2312" w:cs="仿宋_GB2312" w:eastAsia="仿宋_GB2312"/>
          <w:sz w:val="20"/>
        </w:rPr>
        <w:t>〕</w:t>
      </w:r>
      <w:r>
        <w:rPr>
          <w:rFonts w:ascii="仿宋_GB2312" w:hAnsi="仿宋_GB2312" w:cs="仿宋_GB2312" w:eastAsia="仿宋_GB2312"/>
          <w:sz w:val="20"/>
        </w:rPr>
        <w:t>238</w:t>
      </w:r>
      <w:r>
        <w:rPr>
          <w:rFonts w:ascii="仿宋_GB2312" w:hAnsi="仿宋_GB2312" w:cs="仿宋_GB2312" w:eastAsia="仿宋_GB2312"/>
          <w:sz w:val="20"/>
        </w:rPr>
        <w:t>号）、《</w:t>
      </w:r>
      <w:r>
        <w:rPr>
          <w:rFonts w:ascii="仿宋_GB2312" w:hAnsi="仿宋_GB2312" w:cs="仿宋_GB2312" w:eastAsia="仿宋_GB2312"/>
          <w:sz w:val="20"/>
        </w:rPr>
        <w:t>2025</w:t>
      </w:r>
      <w:r>
        <w:rPr>
          <w:rFonts w:ascii="仿宋_GB2312" w:hAnsi="仿宋_GB2312" w:cs="仿宋_GB2312" w:eastAsia="仿宋_GB2312"/>
          <w:sz w:val="20"/>
        </w:rPr>
        <w:t>年国家地表水生态监测实施方案》、《黄河流域河湖水生态综合状况评估试点工作方案》（水体函〔</w:t>
      </w:r>
      <w:r>
        <w:rPr>
          <w:rFonts w:ascii="仿宋_GB2312" w:hAnsi="仿宋_GB2312" w:cs="仿宋_GB2312" w:eastAsia="仿宋_GB2312"/>
          <w:sz w:val="20"/>
        </w:rPr>
        <w:t>2024</w:t>
      </w:r>
      <w:r>
        <w:rPr>
          <w:rFonts w:ascii="仿宋_GB2312" w:hAnsi="仿宋_GB2312" w:cs="仿宋_GB2312" w:eastAsia="仿宋_GB2312"/>
          <w:sz w:val="20"/>
        </w:rPr>
        <w:t>〕</w:t>
      </w:r>
      <w:r>
        <w:rPr>
          <w:rFonts w:ascii="仿宋_GB2312" w:hAnsi="仿宋_GB2312" w:cs="仿宋_GB2312" w:eastAsia="仿宋_GB2312"/>
          <w:sz w:val="20"/>
        </w:rPr>
        <w:t>96</w:t>
      </w:r>
      <w:r>
        <w:rPr>
          <w:rFonts w:ascii="仿宋_GB2312" w:hAnsi="仿宋_GB2312" w:cs="仿宋_GB2312" w:eastAsia="仿宋_GB2312"/>
          <w:sz w:val="20"/>
        </w:rPr>
        <w:t>号）、《长江流域水生态监测方案（试行）》（环办监测函〔</w:t>
      </w:r>
      <w:r>
        <w:rPr>
          <w:rFonts w:ascii="仿宋_GB2312" w:hAnsi="仿宋_GB2312" w:cs="仿宋_GB2312" w:eastAsia="仿宋_GB2312"/>
          <w:sz w:val="20"/>
        </w:rPr>
        <w:t>2022</w:t>
      </w:r>
      <w:r>
        <w:rPr>
          <w:rFonts w:ascii="仿宋_GB2312" w:hAnsi="仿宋_GB2312" w:cs="仿宋_GB2312" w:eastAsia="仿宋_GB2312"/>
          <w:sz w:val="20"/>
        </w:rPr>
        <w:t>〕</w:t>
      </w:r>
      <w:r>
        <w:rPr>
          <w:rFonts w:ascii="仿宋_GB2312" w:hAnsi="仿宋_GB2312" w:cs="仿宋_GB2312" w:eastAsia="仿宋_GB2312"/>
          <w:sz w:val="20"/>
        </w:rPr>
        <w:t>169</w:t>
      </w:r>
      <w:r>
        <w:rPr>
          <w:rFonts w:ascii="仿宋_GB2312" w:hAnsi="仿宋_GB2312" w:cs="仿宋_GB2312" w:eastAsia="仿宋_GB2312"/>
          <w:sz w:val="20"/>
        </w:rPr>
        <w:t>号）、《</w:t>
      </w:r>
      <w:r>
        <w:rPr>
          <w:rFonts w:ascii="仿宋_GB2312" w:hAnsi="仿宋_GB2312" w:cs="仿宋_GB2312" w:eastAsia="仿宋_GB2312"/>
          <w:sz w:val="20"/>
        </w:rPr>
        <w:t>2025</w:t>
      </w:r>
      <w:r>
        <w:rPr>
          <w:rFonts w:ascii="仿宋_GB2312" w:hAnsi="仿宋_GB2312" w:cs="仿宋_GB2312" w:eastAsia="仿宋_GB2312"/>
          <w:sz w:val="20"/>
        </w:rPr>
        <w:t>年国家生态环境监测方案》等要求，在我省开展重点流域水生态综合状况试点监测，摸清我省水生态状况，积极探索“系统评估一问题诊断一成因识别一对策制定”的水生态保护修复路径。本项目执行《</w:t>
      </w:r>
      <w:r>
        <w:rPr>
          <w:rFonts w:ascii="仿宋_GB2312" w:hAnsi="仿宋_GB2312" w:cs="仿宋_GB2312" w:eastAsia="仿宋_GB2312"/>
          <w:sz w:val="20"/>
        </w:rPr>
        <w:t>2020</w:t>
      </w:r>
      <w:r>
        <w:rPr>
          <w:rFonts w:ascii="仿宋_GB2312" w:hAnsi="仿宋_GB2312" w:cs="仿宋_GB2312" w:eastAsia="仿宋_GB2312"/>
          <w:sz w:val="20"/>
        </w:rPr>
        <w:t>年重点流域水生态状况调查监测方案》（环办监测函〔</w:t>
      </w:r>
      <w:r>
        <w:rPr>
          <w:rFonts w:ascii="仿宋_GB2312" w:hAnsi="仿宋_GB2312" w:cs="仿宋_GB2312" w:eastAsia="仿宋_GB2312"/>
          <w:sz w:val="20"/>
        </w:rPr>
        <w:t>2020</w:t>
      </w:r>
      <w:r>
        <w:rPr>
          <w:rFonts w:ascii="仿宋_GB2312" w:hAnsi="仿宋_GB2312" w:cs="仿宋_GB2312" w:eastAsia="仿宋_GB2312"/>
          <w:sz w:val="20"/>
        </w:rPr>
        <w:t>〕</w:t>
      </w:r>
      <w:r>
        <w:rPr>
          <w:rFonts w:ascii="仿宋_GB2312" w:hAnsi="仿宋_GB2312" w:cs="仿宋_GB2312" w:eastAsia="仿宋_GB2312"/>
          <w:sz w:val="20"/>
        </w:rPr>
        <w:t>238</w:t>
      </w:r>
      <w:r>
        <w:rPr>
          <w:rFonts w:ascii="仿宋_GB2312" w:hAnsi="仿宋_GB2312" w:cs="仿宋_GB2312" w:eastAsia="仿宋_GB2312"/>
          <w:sz w:val="20"/>
        </w:rPr>
        <w:t>号）等相关要求，覆盖浮游生物（湖库）、着生藻类（河流）、大型底栖无脊椎动物和生境等，监测范围涉及陕西省主要河流，按照“十五五”国家地表水环境质量监测网络设置方案，对重点流域断面开展水生态监测。监测频次为</w:t>
      </w:r>
      <w:r>
        <w:rPr>
          <w:rFonts w:ascii="仿宋_GB2312" w:hAnsi="仿宋_GB2312" w:cs="仿宋_GB2312" w:eastAsia="仿宋_GB2312"/>
          <w:sz w:val="20"/>
        </w:rPr>
        <w:t>合同签订</w:t>
      </w:r>
      <w:r>
        <w:rPr>
          <w:rFonts w:ascii="仿宋_GB2312" w:hAnsi="仿宋_GB2312" w:cs="仿宋_GB2312" w:eastAsia="仿宋_GB2312"/>
          <w:sz w:val="20"/>
        </w:rPr>
        <w:t>后一年</w:t>
      </w:r>
      <w:r>
        <w:rPr>
          <w:rFonts w:ascii="仿宋_GB2312" w:hAnsi="仿宋_GB2312" w:cs="仿宋_GB2312" w:eastAsia="仿宋_GB2312"/>
          <w:sz w:val="20"/>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2,891,000.00</w:t>
      </w:r>
    </w:p>
    <w:p>
      <w:pPr>
        <w:pStyle w:val="null3"/>
      </w:pPr>
      <w:r>
        <w:rPr>
          <w:rFonts w:ascii="仿宋_GB2312" w:hAnsi="仿宋_GB2312" w:cs="仿宋_GB2312" w:eastAsia="仿宋_GB2312"/>
        </w:rPr>
        <w:t>采购包最高限价（元）: 2,891,000.00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2025年黄河流域水生态调查评估试点监测项目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标的名称：2025年黄河流域水生态调查评估试点监测项目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项目概况</w:t>
            </w:r>
          </w:p>
          <w:p>
            <w:pPr>
              <w:pStyle w:val="null3"/>
              <w:spacing w:before="165"/>
              <w:jc w:val="both"/>
            </w:pPr>
            <w:r>
              <w:rPr>
                <w:rFonts w:ascii="仿宋_GB2312" w:hAnsi="仿宋_GB2312" w:cs="仿宋_GB2312" w:eastAsia="仿宋_GB2312"/>
                <w:sz w:val="20"/>
              </w:rPr>
              <w:t>1.</w:t>
            </w:r>
            <w:r>
              <w:rPr>
                <w:rFonts w:ascii="仿宋_GB2312" w:hAnsi="仿宋_GB2312" w:cs="仿宋_GB2312" w:eastAsia="仿宋_GB2312"/>
                <w:sz w:val="20"/>
              </w:rPr>
              <w:t>项目背景</w:t>
            </w:r>
          </w:p>
          <w:p>
            <w:pPr>
              <w:pStyle w:val="null3"/>
              <w:spacing w:before="165"/>
              <w:ind w:firstLine="400"/>
              <w:jc w:val="both"/>
            </w:pPr>
            <w:r>
              <w:rPr>
                <w:rFonts w:ascii="仿宋_GB2312" w:hAnsi="仿宋_GB2312" w:cs="仿宋_GB2312" w:eastAsia="仿宋_GB2312"/>
                <w:sz w:val="20"/>
              </w:rPr>
              <w:t>为贯彻落实党中央、国务院关于持续深入打好碧水保卫战相关部署，深入推进水资源、水环境、水生态系统治理，按照《</w:t>
            </w:r>
            <w:r>
              <w:rPr>
                <w:rFonts w:ascii="仿宋_GB2312" w:hAnsi="仿宋_GB2312" w:cs="仿宋_GB2312" w:eastAsia="仿宋_GB2312"/>
                <w:sz w:val="20"/>
              </w:rPr>
              <w:t>2020</w:t>
            </w:r>
            <w:r>
              <w:rPr>
                <w:rFonts w:ascii="仿宋_GB2312" w:hAnsi="仿宋_GB2312" w:cs="仿宋_GB2312" w:eastAsia="仿宋_GB2312"/>
                <w:sz w:val="20"/>
              </w:rPr>
              <w:t>年重点流域水生态状况调查监测方案》（环办监测函〔</w:t>
            </w:r>
            <w:r>
              <w:rPr>
                <w:rFonts w:ascii="仿宋_GB2312" w:hAnsi="仿宋_GB2312" w:cs="仿宋_GB2312" w:eastAsia="仿宋_GB2312"/>
                <w:sz w:val="20"/>
              </w:rPr>
              <w:t>2020</w:t>
            </w:r>
            <w:r>
              <w:rPr>
                <w:rFonts w:ascii="仿宋_GB2312" w:hAnsi="仿宋_GB2312" w:cs="仿宋_GB2312" w:eastAsia="仿宋_GB2312"/>
                <w:sz w:val="20"/>
              </w:rPr>
              <w:t>〕</w:t>
            </w:r>
            <w:r>
              <w:rPr>
                <w:rFonts w:ascii="仿宋_GB2312" w:hAnsi="仿宋_GB2312" w:cs="仿宋_GB2312" w:eastAsia="仿宋_GB2312"/>
                <w:sz w:val="20"/>
              </w:rPr>
              <w:t>238</w:t>
            </w:r>
            <w:r>
              <w:rPr>
                <w:rFonts w:ascii="仿宋_GB2312" w:hAnsi="仿宋_GB2312" w:cs="仿宋_GB2312" w:eastAsia="仿宋_GB2312"/>
                <w:sz w:val="20"/>
              </w:rPr>
              <w:t>号）、《</w:t>
            </w:r>
            <w:r>
              <w:rPr>
                <w:rFonts w:ascii="仿宋_GB2312" w:hAnsi="仿宋_GB2312" w:cs="仿宋_GB2312" w:eastAsia="仿宋_GB2312"/>
                <w:sz w:val="20"/>
              </w:rPr>
              <w:t>2025</w:t>
            </w:r>
            <w:r>
              <w:rPr>
                <w:rFonts w:ascii="仿宋_GB2312" w:hAnsi="仿宋_GB2312" w:cs="仿宋_GB2312" w:eastAsia="仿宋_GB2312"/>
                <w:sz w:val="20"/>
              </w:rPr>
              <w:t>年国家地表水生态监测实施方案》、《黄河流域河湖水生态综合状况评估试点工作方案》（水体函〔</w:t>
            </w:r>
            <w:r>
              <w:rPr>
                <w:rFonts w:ascii="仿宋_GB2312" w:hAnsi="仿宋_GB2312" w:cs="仿宋_GB2312" w:eastAsia="仿宋_GB2312"/>
                <w:sz w:val="20"/>
              </w:rPr>
              <w:t>2024</w:t>
            </w:r>
            <w:r>
              <w:rPr>
                <w:rFonts w:ascii="仿宋_GB2312" w:hAnsi="仿宋_GB2312" w:cs="仿宋_GB2312" w:eastAsia="仿宋_GB2312"/>
                <w:sz w:val="20"/>
              </w:rPr>
              <w:t>〕</w:t>
            </w:r>
            <w:r>
              <w:rPr>
                <w:rFonts w:ascii="仿宋_GB2312" w:hAnsi="仿宋_GB2312" w:cs="仿宋_GB2312" w:eastAsia="仿宋_GB2312"/>
                <w:sz w:val="20"/>
              </w:rPr>
              <w:t>96</w:t>
            </w:r>
            <w:r>
              <w:rPr>
                <w:rFonts w:ascii="仿宋_GB2312" w:hAnsi="仿宋_GB2312" w:cs="仿宋_GB2312" w:eastAsia="仿宋_GB2312"/>
                <w:sz w:val="20"/>
              </w:rPr>
              <w:t>号）、《长江流域水生态监测方案（试行）》（环办监测函〔</w:t>
            </w:r>
            <w:r>
              <w:rPr>
                <w:rFonts w:ascii="仿宋_GB2312" w:hAnsi="仿宋_GB2312" w:cs="仿宋_GB2312" w:eastAsia="仿宋_GB2312"/>
                <w:sz w:val="20"/>
              </w:rPr>
              <w:t>2022</w:t>
            </w:r>
            <w:r>
              <w:rPr>
                <w:rFonts w:ascii="仿宋_GB2312" w:hAnsi="仿宋_GB2312" w:cs="仿宋_GB2312" w:eastAsia="仿宋_GB2312"/>
                <w:sz w:val="20"/>
              </w:rPr>
              <w:t>〕</w:t>
            </w:r>
            <w:r>
              <w:rPr>
                <w:rFonts w:ascii="仿宋_GB2312" w:hAnsi="仿宋_GB2312" w:cs="仿宋_GB2312" w:eastAsia="仿宋_GB2312"/>
                <w:sz w:val="20"/>
              </w:rPr>
              <w:t>169</w:t>
            </w:r>
            <w:r>
              <w:rPr>
                <w:rFonts w:ascii="仿宋_GB2312" w:hAnsi="仿宋_GB2312" w:cs="仿宋_GB2312" w:eastAsia="仿宋_GB2312"/>
                <w:sz w:val="20"/>
              </w:rPr>
              <w:t>号）、《</w:t>
            </w:r>
            <w:r>
              <w:rPr>
                <w:rFonts w:ascii="仿宋_GB2312" w:hAnsi="仿宋_GB2312" w:cs="仿宋_GB2312" w:eastAsia="仿宋_GB2312"/>
                <w:sz w:val="20"/>
              </w:rPr>
              <w:t>2025</w:t>
            </w:r>
            <w:r>
              <w:rPr>
                <w:rFonts w:ascii="仿宋_GB2312" w:hAnsi="仿宋_GB2312" w:cs="仿宋_GB2312" w:eastAsia="仿宋_GB2312"/>
                <w:sz w:val="20"/>
              </w:rPr>
              <w:t>年国家生态环境监测方案》等要求，在我省开展重点流域水生态综合状况试点监测，摸清我省水生态状况，积极探索“系统评估一问题诊断一成因识别一对策制定”的水生态保护修复路径。</w:t>
            </w:r>
          </w:p>
          <w:p>
            <w:pPr>
              <w:pStyle w:val="null3"/>
              <w:spacing w:after="165"/>
              <w:jc w:val="both"/>
            </w:pPr>
            <w:r>
              <w:rPr>
                <w:rFonts w:ascii="仿宋_GB2312" w:hAnsi="仿宋_GB2312" w:cs="仿宋_GB2312" w:eastAsia="仿宋_GB2312"/>
                <w:sz w:val="20"/>
              </w:rPr>
              <w:t>2.</w:t>
            </w:r>
            <w:r>
              <w:rPr>
                <w:rFonts w:ascii="仿宋_GB2312" w:hAnsi="仿宋_GB2312" w:cs="仿宋_GB2312" w:eastAsia="仿宋_GB2312"/>
                <w:sz w:val="20"/>
              </w:rPr>
              <w:t>服务期限</w:t>
            </w:r>
            <w:r>
              <w:rPr>
                <w:rFonts w:ascii="仿宋_GB2312" w:hAnsi="仿宋_GB2312" w:cs="仿宋_GB2312" w:eastAsia="仿宋_GB2312"/>
                <w:sz w:val="20"/>
              </w:rPr>
              <w:t>：合同签订后一年</w:t>
            </w:r>
            <w:r>
              <w:rPr>
                <w:rFonts w:ascii="仿宋_GB2312" w:hAnsi="仿宋_GB2312" w:cs="仿宋_GB2312" w:eastAsia="仿宋_GB2312"/>
                <w:sz w:val="20"/>
              </w:rPr>
              <w:t>。</w:t>
            </w:r>
          </w:p>
          <w:p>
            <w:pPr>
              <w:pStyle w:val="null3"/>
              <w:numPr>
                <w:ilvl w:val="0"/>
                <w:numId w:val="1"/>
              </w:numPr>
              <w:spacing w:after="165"/>
              <w:jc w:val="both"/>
            </w:pPr>
            <w:r>
              <w:rPr>
                <w:rFonts w:ascii="仿宋_GB2312" w:hAnsi="仿宋_GB2312" w:cs="仿宋_GB2312" w:eastAsia="仿宋_GB2312"/>
                <w:sz w:val="20"/>
              </w:rPr>
              <w:t>项目金额</w:t>
            </w:r>
            <w:r>
              <w:rPr>
                <w:rFonts w:ascii="仿宋_GB2312" w:hAnsi="仿宋_GB2312" w:cs="仿宋_GB2312" w:eastAsia="仿宋_GB2312"/>
                <w:sz w:val="20"/>
              </w:rPr>
              <w:t>：</w:t>
            </w:r>
            <w:r>
              <w:rPr>
                <w:rFonts w:ascii="仿宋_GB2312" w:hAnsi="仿宋_GB2312" w:cs="仿宋_GB2312" w:eastAsia="仿宋_GB2312"/>
                <w:sz w:val="20"/>
              </w:rPr>
              <w:t>289.1</w:t>
            </w:r>
            <w:r>
              <w:rPr>
                <w:rFonts w:ascii="仿宋_GB2312" w:hAnsi="仿宋_GB2312" w:cs="仿宋_GB2312" w:eastAsia="仿宋_GB2312"/>
                <w:sz w:val="20"/>
              </w:rPr>
              <w:t>万元。</w:t>
            </w:r>
          </w:p>
          <w:p>
            <w:pPr>
              <w:pStyle w:val="null3"/>
              <w:spacing w:after="165"/>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监测范围及频次</w:t>
            </w:r>
          </w:p>
          <w:p>
            <w:pPr>
              <w:pStyle w:val="null3"/>
              <w:spacing w:after="165"/>
              <w:ind w:firstLine="400"/>
              <w:jc w:val="both"/>
            </w:pPr>
            <w:r>
              <w:rPr>
                <w:rFonts w:ascii="仿宋_GB2312" w:hAnsi="仿宋_GB2312" w:cs="仿宋_GB2312" w:eastAsia="仿宋_GB2312"/>
                <w:sz w:val="20"/>
              </w:rPr>
              <w:t>本项目执行《</w:t>
            </w:r>
            <w:r>
              <w:rPr>
                <w:rFonts w:ascii="仿宋_GB2312" w:hAnsi="仿宋_GB2312" w:cs="仿宋_GB2312" w:eastAsia="仿宋_GB2312"/>
                <w:sz w:val="20"/>
              </w:rPr>
              <w:t>2020</w:t>
            </w:r>
            <w:r>
              <w:rPr>
                <w:rFonts w:ascii="仿宋_GB2312" w:hAnsi="仿宋_GB2312" w:cs="仿宋_GB2312" w:eastAsia="仿宋_GB2312"/>
                <w:sz w:val="20"/>
              </w:rPr>
              <w:t>年重点流域水生态状况调查监测方案》（环办监测函〔</w:t>
            </w:r>
            <w:r>
              <w:rPr>
                <w:rFonts w:ascii="仿宋_GB2312" w:hAnsi="仿宋_GB2312" w:cs="仿宋_GB2312" w:eastAsia="仿宋_GB2312"/>
                <w:sz w:val="20"/>
              </w:rPr>
              <w:t>2020</w:t>
            </w:r>
            <w:r>
              <w:rPr>
                <w:rFonts w:ascii="仿宋_GB2312" w:hAnsi="仿宋_GB2312" w:cs="仿宋_GB2312" w:eastAsia="仿宋_GB2312"/>
                <w:sz w:val="20"/>
              </w:rPr>
              <w:t>〕</w:t>
            </w:r>
            <w:r>
              <w:rPr>
                <w:rFonts w:ascii="仿宋_GB2312" w:hAnsi="仿宋_GB2312" w:cs="仿宋_GB2312" w:eastAsia="仿宋_GB2312"/>
                <w:sz w:val="20"/>
              </w:rPr>
              <w:t>238</w:t>
            </w:r>
            <w:r>
              <w:rPr>
                <w:rFonts w:ascii="仿宋_GB2312" w:hAnsi="仿宋_GB2312" w:cs="仿宋_GB2312" w:eastAsia="仿宋_GB2312"/>
                <w:sz w:val="20"/>
              </w:rPr>
              <w:t>号）等相关要求，覆盖浮游生物（湖库）、着生藻类（河流）、大型底栖无脊椎动物和生境等，监测范围涉及陕西省主要河流，按照“十五五”国家地表水环境质量监测网络设置方案，对重点流域断面开展水生态监测。监测频次为春季、秋季各监测一次，时间一般为</w:t>
            </w:r>
            <w:r>
              <w:rPr>
                <w:rFonts w:ascii="仿宋_GB2312" w:hAnsi="仿宋_GB2312" w:cs="仿宋_GB2312" w:eastAsia="仿宋_GB2312"/>
                <w:sz w:val="20"/>
              </w:rPr>
              <w:t>4-5</w:t>
            </w:r>
            <w:r>
              <w:rPr>
                <w:rFonts w:ascii="仿宋_GB2312" w:hAnsi="仿宋_GB2312" w:cs="仿宋_GB2312" w:eastAsia="仿宋_GB2312"/>
                <w:sz w:val="20"/>
              </w:rPr>
              <w:t>月和</w:t>
            </w:r>
            <w:r>
              <w:rPr>
                <w:rFonts w:ascii="仿宋_GB2312" w:hAnsi="仿宋_GB2312" w:cs="仿宋_GB2312" w:eastAsia="仿宋_GB2312"/>
                <w:sz w:val="20"/>
              </w:rPr>
              <w:t>9-10</w:t>
            </w:r>
            <w:r>
              <w:rPr>
                <w:rFonts w:ascii="仿宋_GB2312" w:hAnsi="仿宋_GB2312" w:cs="仿宋_GB2312" w:eastAsia="仿宋_GB2312"/>
                <w:sz w:val="20"/>
              </w:rPr>
              <w:t>月。</w:t>
            </w:r>
          </w:p>
          <w:p>
            <w:pPr>
              <w:pStyle w:val="null3"/>
              <w:jc w:val="left"/>
            </w:pPr>
            <w:r>
              <w:rPr>
                <w:rFonts w:ascii="仿宋_GB2312" w:hAnsi="仿宋_GB2312" w:cs="仿宋_GB2312" w:eastAsia="仿宋_GB2312"/>
                <w:sz w:val="20"/>
              </w:rPr>
              <w:t>二、项目技术要求</w:t>
            </w:r>
          </w:p>
          <w:p>
            <w:pPr>
              <w:pStyle w:val="null3"/>
              <w:spacing w:after="165"/>
              <w:ind w:firstLine="400"/>
              <w:jc w:val="both"/>
            </w:pPr>
            <w:r>
              <w:rPr>
                <w:rFonts w:ascii="仿宋_GB2312" w:hAnsi="仿宋_GB2312" w:cs="仿宋_GB2312" w:eastAsia="仿宋_GB2312"/>
                <w:sz w:val="20"/>
              </w:rPr>
              <w:t>项目充分衔接利用国家与各省份在黄河流域已经开展的水生态监测、调查评估等工作基础，总结建立具我省河湖特色的水生态综合状况评估指标体系和方法，开展试点河湖水生态综合状况评估，摸清水生态综合状况底数，形成水生态问题清单，为建立适用于黄河流域的水生态综合状况评估指标和方法提供支撑。</w:t>
            </w:r>
          </w:p>
          <w:p>
            <w:pPr>
              <w:pStyle w:val="null3"/>
              <w:spacing w:after="165"/>
              <w:ind w:firstLine="400"/>
              <w:jc w:val="both"/>
            </w:pPr>
            <w:r>
              <w:rPr>
                <w:rFonts w:ascii="仿宋_GB2312" w:hAnsi="仿宋_GB2312" w:cs="仿宋_GB2312" w:eastAsia="仿宋_GB2312"/>
                <w:sz w:val="20"/>
              </w:rPr>
              <w:t>加强衔接，做好统筹。充分衔接生态环境部正在实施的水生态监测工作和各省份已实施的水生态调查评估等各类工作，在整合相关成果的基础上开展试点，对既有工作不替代、不重复，结合实际开展必要的补充调查。</w:t>
            </w:r>
          </w:p>
          <w:p>
            <w:pPr>
              <w:pStyle w:val="null3"/>
              <w:spacing w:after="165"/>
              <w:ind w:firstLine="400"/>
              <w:jc w:val="both"/>
            </w:pPr>
            <w:r>
              <w:rPr>
                <w:rFonts w:ascii="仿宋_GB2312" w:hAnsi="仿宋_GB2312" w:cs="仿宋_GB2312" w:eastAsia="仿宋_GB2312"/>
                <w:sz w:val="21"/>
              </w:rPr>
              <w:t>守正创新，突出特色。根据相关法规标准，借鉴长江水生态考核试点工作经验，按照“基础指标+特色指标”相结合的思路，深入研究、科学论证，探索建立体现试点水体特色的综合评估指标体系。</w:t>
            </w:r>
          </w:p>
          <w:p>
            <w:pPr>
              <w:pStyle w:val="null3"/>
              <w:spacing w:after="165"/>
              <w:ind w:firstLine="400"/>
              <w:jc w:val="both"/>
            </w:pPr>
            <w:r>
              <w:rPr>
                <w:rFonts w:ascii="仿宋_GB2312" w:hAnsi="仿宋_GB2312" w:cs="仿宋_GB2312" w:eastAsia="仿宋_GB2312"/>
                <w:sz w:val="21"/>
              </w:rPr>
              <w:t>系统谋划，综合评估。注重生态系统整体性和流域系统性，统筹流域水资源、水生态、水环境等要素开展综合评估，面向管理需求强化问题诊断、成因识别与对策制定，总结提炼可推广、可复制的技术方法。</w:t>
            </w:r>
          </w:p>
          <w:p>
            <w:pPr>
              <w:pStyle w:val="null3"/>
              <w:jc w:val="left"/>
            </w:pPr>
            <w:r>
              <w:rPr>
                <w:rFonts w:ascii="仿宋_GB2312" w:hAnsi="仿宋_GB2312" w:cs="仿宋_GB2312" w:eastAsia="仿宋_GB2312"/>
                <w:sz w:val="20"/>
              </w:rPr>
              <w:t>三、项目内容</w:t>
            </w:r>
          </w:p>
          <w:p>
            <w:pPr>
              <w:pStyle w:val="null3"/>
              <w:spacing w:before="165"/>
              <w:ind w:firstLine="400"/>
              <w:jc w:val="both"/>
            </w:pPr>
            <w:r>
              <w:rPr>
                <w:rFonts w:ascii="仿宋_GB2312" w:hAnsi="仿宋_GB2312" w:cs="仿宋_GB2312" w:eastAsia="仿宋_GB2312"/>
                <w:sz w:val="20"/>
              </w:rPr>
              <w:t>1.</w:t>
            </w:r>
            <w:r>
              <w:rPr>
                <w:rFonts w:ascii="仿宋_GB2312" w:hAnsi="仿宋_GB2312" w:cs="仿宋_GB2312" w:eastAsia="仿宋_GB2312"/>
                <w:sz w:val="20"/>
              </w:rPr>
              <w:t>汇总数据资料。充分梳理分析生态环境、水利、农业、林草等部门水生态调查评价与保护修复工作资料，包括试点水体水生态调查监测评价及水生态保护修复工程实施等方面积累的基础数据</w:t>
            </w:r>
            <w:r>
              <w:rPr>
                <w:rFonts w:ascii="仿宋_GB2312" w:hAnsi="仿宋_GB2312" w:cs="仿宋_GB2312" w:eastAsia="仿宋_GB2312"/>
                <w:sz w:val="20"/>
              </w:rPr>
              <w:t>(</w:t>
            </w:r>
            <w:r>
              <w:rPr>
                <w:rFonts w:ascii="仿宋_GB2312" w:hAnsi="仿宋_GB2312" w:cs="仿宋_GB2312" w:eastAsia="仿宋_GB2312"/>
                <w:sz w:val="20"/>
              </w:rPr>
              <w:t>如鱼类、生态流量等监测数据</w:t>
            </w:r>
            <w:r>
              <w:rPr>
                <w:rFonts w:ascii="仿宋_GB2312" w:hAnsi="仿宋_GB2312" w:cs="仿宋_GB2312" w:eastAsia="仿宋_GB2312"/>
                <w:sz w:val="20"/>
              </w:rPr>
              <w:t>)</w:t>
            </w:r>
            <w:r>
              <w:rPr>
                <w:rFonts w:ascii="仿宋_GB2312" w:hAnsi="仿宋_GB2312" w:cs="仿宋_GB2312" w:eastAsia="仿宋_GB2312"/>
                <w:sz w:val="20"/>
              </w:rPr>
              <w:t>、研究成果</w:t>
            </w:r>
            <w:r>
              <w:rPr>
                <w:rFonts w:ascii="仿宋_GB2312" w:hAnsi="仿宋_GB2312" w:cs="仿宋_GB2312" w:eastAsia="仿宋_GB2312"/>
                <w:sz w:val="20"/>
              </w:rPr>
              <w:t>(</w:t>
            </w:r>
            <w:r>
              <w:rPr>
                <w:rFonts w:ascii="仿宋_GB2312" w:hAnsi="仿宋_GB2312" w:cs="仿宋_GB2312" w:eastAsia="仿宋_GB2312"/>
                <w:sz w:val="20"/>
              </w:rPr>
              <w:t>如工程可研报告等</w:t>
            </w:r>
            <w:r>
              <w:rPr>
                <w:rFonts w:ascii="仿宋_GB2312" w:hAnsi="仿宋_GB2312" w:cs="仿宋_GB2312" w:eastAsia="仿宋_GB2312"/>
                <w:sz w:val="20"/>
              </w:rPr>
              <w:t>)</w:t>
            </w:r>
            <w:r>
              <w:rPr>
                <w:rFonts w:ascii="仿宋_GB2312" w:hAnsi="仿宋_GB2312" w:cs="仿宋_GB2312" w:eastAsia="仿宋_GB2312"/>
                <w:sz w:val="20"/>
              </w:rPr>
              <w:t>、评价报告</w:t>
            </w:r>
            <w:r>
              <w:rPr>
                <w:rFonts w:ascii="仿宋_GB2312" w:hAnsi="仿宋_GB2312" w:cs="仿宋_GB2312" w:eastAsia="仿宋_GB2312"/>
                <w:sz w:val="20"/>
              </w:rPr>
              <w:t>(</w:t>
            </w:r>
            <w:r>
              <w:rPr>
                <w:rFonts w:ascii="仿宋_GB2312" w:hAnsi="仿宋_GB2312" w:cs="仿宋_GB2312" w:eastAsia="仿宋_GB2312"/>
                <w:sz w:val="20"/>
              </w:rPr>
              <w:t>如水生态调查评价报告、监测报告等</w:t>
            </w:r>
            <w:r>
              <w:rPr>
                <w:rFonts w:ascii="仿宋_GB2312" w:hAnsi="仿宋_GB2312" w:cs="仿宋_GB2312" w:eastAsia="仿宋_GB2312"/>
                <w:sz w:val="20"/>
              </w:rPr>
              <w:t>)</w:t>
            </w:r>
            <w:r>
              <w:rPr>
                <w:rFonts w:ascii="仿宋_GB2312" w:hAnsi="仿宋_GB2312" w:cs="仿宋_GB2312" w:eastAsia="仿宋_GB2312"/>
                <w:sz w:val="20"/>
              </w:rPr>
              <w:t>等。</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构建指标体系。试点水体水生态综合状况评估指标采取基础指标</w:t>
            </w:r>
            <w:r>
              <w:rPr>
                <w:rFonts w:ascii="仿宋_GB2312" w:hAnsi="仿宋_GB2312" w:cs="仿宋_GB2312" w:eastAsia="仿宋_GB2312"/>
                <w:sz w:val="20"/>
              </w:rPr>
              <w:t>+</w:t>
            </w:r>
            <w:r>
              <w:rPr>
                <w:rFonts w:ascii="仿宋_GB2312" w:hAnsi="仿宋_GB2312" w:cs="仿宋_GB2312" w:eastAsia="仿宋_GB2312"/>
                <w:sz w:val="20"/>
              </w:rPr>
              <w:t>特色指标”相结合的方式。指标可从已有标准指南中选取，也可根据已有研究基础构建符合当地实际的指标体系。其中，基础指标原则上应涵盖水资源、水环境、水生生物</w:t>
            </w:r>
            <w:r>
              <w:rPr>
                <w:rFonts w:ascii="仿宋_GB2312" w:hAnsi="仿宋_GB2312" w:cs="仿宋_GB2312" w:eastAsia="仿宋_GB2312"/>
                <w:sz w:val="20"/>
              </w:rPr>
              <w:t>3</w:t>
            </w:r>
            <w:r>
              <w:rPr>
                <w:rFonts w:ascii="仿宋_GB2312" w:hAnsi="仿宋_GB2312" w:cs="仿宋_GB2312" w:eastAsia="仿宋_GB2312"/>
                <w:sz w:val="20"/>
              </w:rPr>
              <w:t>个方面</w:t>
            </w:r>
            <w:r>
              <w:rPr>
                <w:rFonts w:ascii="仿宋_GB2312" w:hAnsi="仿宋_GB2312" w:cs="仿宋_GB2312" w:eastAsia="仿宋_GB2312"/>
                <w:sz w:val="20"/>
              </w:rPr>
              <w:t>;</w:t>
            </w:r>
            <w:r>
              <w:rPr>
                <w:rFonts w:ascii="仿宋_GB2312" w:hAnsi="仿宋_GB2312" w:cs="仿宋_GB2312" w:eastAsia="仿宋_GB2312"/>
                <w:sz w:val="20"/>
              </w:rPr>
              <w:t>推荐以河湖生态流量</w:t>
            </w:r>
            <w:r>
              <w:rPr>
                <w:rFonts w:ascii="仿宋_GB2312" w:hAnsi="仿宋_GB2312" w:cs="仿宋_GB2312" w:eastAsia="仿宋_GB2312"/>
                <w:sz w:val="20"/>
              </w:rPr>
              <w:t>(</w:t>
            </w:r>
            <w:r>
              <w:rPr>
                <w:rFonts w:ascii="仿宋_GB2312" w:hAnsi="仿宋_GB2312" w:cs="仿宋_GB2312" w:eastAsia="仿宋_GB2312"/>
                <w:sz w:val="20"/>
              </w:rPr>
              <w:t>水位</w:t>
            </w:r>
            <w:r>
              <w:rPr>
                <w:rFonts w:ascii="仿宋_GB2312" w:hAnsi="仿宋_GB2312" w:cs="仿宋_GB2312" w:eastAsia="仿宋_GB2312"/>
                <w:sz w:val="20"/>
              </w:rPr>
              <w:t>)</w:t>
            </w:r>
            <w:r>
              <w:rPr>
                <w:rFonts w:ascii="仿宋_GB2312" w:hAnsi="仿宋_GB2312" w:cs="仿宋_GB2312" w:eastAsia="仿宋_GB2312"/>
                <w:sz w:val="20"/>
              </w:rPr>
              <w:t>保障率、地表水环境质量、大型底栖动物等指标为核心，结合试点水体特征可以适当增补部分指标，如</w:t>
            </w:r>
            <w:r>
              <w:rPr>
                <w:rFonts w:ascii="仿宋_GB2312" w:hAnsi="仿宋_GB2312" w:cs="仿宋_GB2312" w:eastAsia="仿宋_GB2312"/>
                <w:sz w:val="20"/>
              </w:rPr>
              <w:t>:</w:t>
            </w:r>
            <w:r>
              <w:rPr>
                <w:rFonts w:ascii="仿宋_GB2312" w:hAnsi="仿宋_GB2312" w:cs="仿宋_GB2312" w:eastAsia="仿宋_GB2312"/>
                <w:sz w:val="20"/>
              </w:rPr>
              <w:t>重点保护水生生物、着生藻类、自然岸线率、水源涵养区等。特色指标可根据黄河流域上中下游差异，因地制宜选择湿地面积、浑浊度悬浮物、含沙量、总氮浓度等特征指标。现有资料不足以支撑评估需要的，可开展必要的补充调查。按照上述要求，开展陕西省主要河流国省控监测点位的浮游动物、浮游植物、着生藻类、大型底栖无脊椎动物、鱼类和大型水生植被等主要水生生物的样品鉴定，鱼类的鉴定还需使用环境</w:t>
            </w:r>
            <w:r>
              <w:rPr>
                <w:rFonts w:ascii="仿宋_GB2312" w:hAnsi="仿宋_GB2312" w:cs="仿宋_GB2312" w:eastAsia="仿宋_GB2312"/>
                <w:sz w:val="20"/>
              </w:rPr>
              <w:t>DNA</w:t>
            </w:r>
            <w:r>
              <w:rPr>
                <w:rFonts w:ascii="仿宋_GB2312" w:hAnsi="仿宋_GB2312" w:cs="仿宋_GB2312" w:eastAsia="仿宋_GB2312"/>
                <w:sz w:val="20"/>
              </w:rPr>
              <w:t>方法，并对各类群特征指标进行分析。</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开展综合评估。按照《河流水生态环境质量监测与评价技术指南》，根据实施方案，对水生生物样品进行鉴定分析，并对数据进行统计分析，进行水生态环境质量综合评估。借鉴水生态评估</w:t>
            </w:r>
            <w:r>
              <w:rPr>
                <w:rFonts w:ascii="仿宋_GB2312" w:hAnsi="仿宋_GB2312" w:cs="仿宋_GB2312" w:eastAsia="仿宋_GB2312"/>
                <w:sz w:val="20"/>
              </w:rPr>
              <w:t>(</w:t>
            </w:r>
            <w:r>
              <w:rPr>
                <w:rFonts w:ascii="仿宋_GB2312" w:hAnsi="仿宋_GB2312" w:cs="仿宋_GB2312" w:eastAsia="仿宋_GB2312"/>
                <w:sz w:val="20"/>
              </w:rPr>
              <w:t>评价</w:t>
            </w:r>
            <w:r>
              <w:rPr>
                <w:rFonts w:ascii="仿宋_GB2312" w:hAnsi="仿宋_GB2312" w:cs="仿宋_GB2312" w:eastAsia="仿宋_GB2312"/>
                <w:sz w:val="20"/>
              </w:rPr>
              <w:t>)</w:t>
            </w:r>
            <w:r>
              <w:rPr>
                <w:rFonts w:ascii="仿宋_GB2312" w:hAnsi="仿宋_GB2312" w:cs="仿宋_GB2312" w:eastAsia="仿宋_GB2312"/>
                <w:sz w:val="20"/>
              </w:rPr>
              <w:t>相关技术指南采用相关方法多尝多试、综合比选，确定最终的综合评估方法。综合评估一般采取对单指标评估结果加权求和的方式，其中，单指标评估既可参照相关技术指南采取直接分级赋分方式</w:t>
            </w:r>
            <w:r>
              <w:rPr>
                <w:rFonts w:ascii="仿宋_GB2312" w:hAnsi="仿宋_GB2312" w:cs="仿宋_GB2312" w:eastAsia="仿宋_GB2312"/>
                <w:sz w:val="20"/>
              </w:rPr>
              <w:t>(</w:t>
            </w:r>
            <w:r>
              <w:rPr>
                <w:rFonts w:ascii="仿宋_GB2312" w:hAnsi="仿宋_GB2312" w:cs="仿宋_GB2312" w:eastAsia="仿宋_GB2312"/>
                <w:sz w:val="20"/>
              </w:rPr>
              <w:t>如《水生态监测技术指南河流水生生物监测与评价</w:t>
            </w:r>
            <w:r>
              <w:rPr>
                <w:rFonts w:ascii="仿宋_GB2312" w:hAnsi="仿宋_GB2312" w:cs="仿宋_GB2312" w:eastAsia="仿宋_GB2312"/>
                <w:sz w:val="20"/>
              </w:rPr>
              <w:t>(</w:t>
            </w:r>
            <w:r>
              <w:rPr>
                <w:rFonts w:ascii="仿宋_GB2312" w:hAnsi="仿宋_GB2312" w:cs="仿宋_GB2312" w:eastAsia="仿宋_GB2312"/>
                <w:sz w:val="20"/>
              </w:rPr>
              <w:t>试行</w:t>
            </w:r>
            <w:r>
              <w:rPr>
                <w:rFonts w:ascii="仿宋_GB2312" w:hAnsi="仿宋_GB2312" w:cs="仿宋_GB2312" w:eastAsia="仿宋_GB2312"/>
                <w:sz w:val="20"/>
              </w:rPr>
              <w:t>)</w:t>
            </w:r>
            <w:r>
              <w:rPr>
                <w:rFonts w:ascii="仿宋_GB2312" w:hAnsi="仿宋_GB2312" w:cs="仿宋_GB2312" w:eastAsia="仿宋_GB2312"/>
                <w:sz w:val="20"/>
              </w:rPr>
              <w:t>》中的底栖动物生物监测工作组记分</w:t>
            </w:r>
            <w:r>
              <w:rPr>
                <w:rFonts w:ascii="仿宋_GB2312" w:hAnsi="仿宋_GB2312" w:cs="仿宋_GB2312" w:eastAsia="仿宋_GB2312"/>
                <w:sz w:val="20"/>
              </w:rPr>
              <w:t>(BMWP)</w:t>
            </w:r>
            <w:r>
              <w:rPr>
                <w:rFonts w:ascii="仿宋_GB2312" w:hAnsi="仿宋_GB2312" w:cs="仿宋_GB2312" w:eastAsia="仿宋_GB2312"/>
                <w:sz w:val="20"/>
              </w:rPr>
              <w:t>方法</w:t>
            </w:r>
            <w:r>
              <w:rPr>
                <w:rFonts w:ascii="仿宋_GB2312" w:hAnsi="仿宋_GB2312" w:cs="仿宋_GB2312" w:eastAsia="仿宋_GB2312"/>
                <w:sz w:val="20"/>
              </w:rPr>
              <w:t>)</w:t>
            </w:r>
            <w:r>
              <w:rPr>
                <w:rFonts w:ascii="仿宋_GB2312" w:hAnsi="仿宋_GB2312" w:cs="仿宋_GB2312" w:eastAsia="仿宋_GB2312"/>
                <w:sz w:val="20"/>
              </w:rPr>
              <w:t>，也可采取现状值与期望值相比较进行赋分的方式</w:t>
            </w:r>
            <w:r>
              <w:rPr>
                <w:rFonts w:ascii="仿宋_GB2312" w:hAnsi="仿宋_GB2312" w:cs="仿宋_GB2312" w:eastAsia="仿宋_GB2312"/>
                <w:sz w:val="20"/>
              </w:rPr>
              <w:t>(</w:t>
            </w:r>
            <w:r>
              <w:rPr>
                <w:rFonts w:ascii="仿宋_GB2312" w:hAnsi="仿宋_GB2312" w:cs="仿宋_GB2312" w:eastAsia="仿宋_GB2312"/>
                <w:sz w:val="20"/>
              </w:rPr>
              <w:t>如《长江流域水生态考核指标评分细则</w:t>
            </w:r>
            <w:r>
              <w:rPr>
                <w:rFonts w:ascii="仿宋_GB2312" w:hAnsi="仿宋_GB2312" w:cs="仿宋_GB2312" w:eastAsia="仿宋_GB2312"/>
                <w:sz w:val="20"/>
              </w:rPr>
              <w:t>(</w:t>
            </w:r>
            <w:r>
              <w:rPr>
                <w:rFonts w:ascii="仿宋_GB2312" w:hAnsi="仿宋_GB2312" w:cs="仿宋_GB2312" w:eastAsia="仿宋_GB2312"/>
                <w:sz w:val="20"/>
              </w:rPr>
              <w:t>试行</w:t>
            </w:r>
            <w:r>
              <w:rPr>
                <w:rFonts w:ascii="仿宋_GB2312" w:hAnsi="仿宋_GB2312" w:cs="仿宋_GB2312" w:eastAsia="仿宋_GB2312"/>
                <w:sz w:val="20"/>
              </w:rPr>
              <w:t>)</w:t>
            </w:r>
            <w:r>
              <w:rPr>
                <w:rFonts w:ascii="仿宋_GB2312" w:hAnsi="仿宋_GB2312" w:cs="仿宋_GB2312" w:eastAsia="仿宋_GB2312"/>
                <w:sz w:val="20"/>
              </w:rPr>
              <w:t>》中的评分方式</w:t>
            </w:r>
            <w:r>
              <w:rPr>
                <w:rFonts w:ascii="仿宋_GB2312" w:hAnsi="仿宋_GB2312" w:cs="仿宋_GB2312" w:eastAsia="仿宋_GB2312"/>
                <w:sz w:val="20"/>
              </w:rPr>
              <w:t>);</w:t>
            </w:r>
            <w:r>
              <w:rPr>
                <w:rFonts w:ascii="仿宋_GB2312" w:hAnsi="仿宋_GB2312" w:cs="仿宋_GB2312" w:eastAsia="仿宋_GB2312"/>
                <w:sz w:val="20"/>
              </w:rPr>
              <w:t>加权求和时，各指标权重可采用层次分析法等方式确定。鼓励试点地区结合本省份特点，探索研究适用于试点水体特征的综合评估方法。综合评估工作力求客观全面反映试点水体水生态综合状况，识别出受人类影响的关键指标、主要水生态环境问题与区域。</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强化成果应用。结合有关上位规划文件的水资源、水环境、水生态等目标要求，参考相关技术指南，对照指标逐项分析，识别受人类活动影响的指标，并进一步分析问题成因，形成问题清单表。问题清单表包括所在行政区、水体名称、存在问题的指标存在的水生态环境问题描述与成因分析等。根据需要，可针对部分指标采用图、表和文字描述予以补充说明。试点省份河湖水生态综合状况评估试点报告，应针对问题和成因提出具体对策，为水生态保护修复工程谋划、规划编制、政策制定等工作提供支撑，推进以评促治、以评促管。</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具体指标。按照《黄河流域水生态调查与评估试点工作方案》要求，水生态调查试点工作的基础指标包括：水生生物、水生境、水环境和水资源共</w:t>
            </w:r>
            <w:r>
              <w:rPr>
                <w:rFonts w:ascii="仿宋_GB2312" w:hAnsi="仿宋_GB2312" w:cs="仿宋_GB2312" w:eastAsia="仿宋_GB2312"/>
                <w:sz w:val="20"/>
              </w:rPr>
              <w:t>4</w:t>
            </w:r>
            <w:r>
              <w:rPr>
                <w:rFonts w:ascii="仿宋_GB2312" w:hAnsi="仿宋_GB2312" w:cs="仿宋_GB2312" w:eastAsia="仿宋_GB2312"/>
                <w:sz w:val="20"/>
              </w:rPr>
              <w:t>类</w:t>
            </w:r>
            <w:r>
              <w:rPr>
                <w:rFonts w:ascii="仿宋_GB2312" w:hAnsi="仿宋_GB2312" w:cs="仿宋_GB2312" w:eastAsia="仿宋_GB2312"/>
                <w:sz w:val="20"/>
              </w:rPr>
              <w:t>18</w:t>
            </w:r>
            <w:r>
              <w:rPr>
                <w:rFonts w:ascii="仿宋_GB2312" w:hAnsi="仿宋_GB2312" w:cs="仿宋_GB2312" w:eastAsia="仿宋_GB2312"/>
                <w:sz w:val="20"/>
              </w:rPr>
              <w:t>项，特色指标</w:t>
            </w:r>
            <w:r>
              <w:rPr>
                <w:rFonts w:ascii="仿宋_GB2312" w:hAnsi="仿宋_GB2312" w:cs="仿宋_GB2312" w:eastAsia="仿宋_GB2312"/>
                <w:sz w:val="20"/>
              </w:rPr>
              <w:t>3</w:t>
            </w:r>
            <w:r>
              <w:rPr>
                <w:rFonts w:ascii="仿宋_GB2312" w:hAnsi="仿宋_GB2312" w:cs="仿宋_GB2312" w:eastAsia="仿宋_GB2312"/>
                <w:sz w:val="20"/>
              </w:rPr>
              <w:t>类</w:t>
            </w:r>
            <w:r>
              <w:rPr>
                <w:rFonts w:ascii="仿宋_GB2312" w:hAnsi="仿宋_GB2312" w:cs="仿宋_GB2312" w:eastAsia="仿宋_GB2312"/>
                <w:sz w:val="20"/>
              </w:rPr>
              <w:t>4</w:t>
            </w:r>
            <w:r>
              <w:rPr>
                <w:rFonts w:ascii="仿宋_GB2312" w:hAnsi="仿宋_GB2312" w:cs="仿宋_GB2312" w:eastAsia="仿宋_GB2312"/>
                <w:sz w:val="20"/>
              </w:rPr>
              <w:t>项。具体调查指标如下：</w:t>
            </w:r>
          </w:p>
          <w:p>
            <w:pPr>
              <w:pStyle w:val="null3"/>
            </w:pPr>
            <w:r>
              <w:rPr>
                <w:rFonts w:ascii="仿宋_GB2312" w:hAnsi="仿宋_GB2312" w:cs="仿宋_GB2312" w:eastAsia="仿宋_GB2312"/>
              </w:rPr>
              <w:t xml:space="preserve"> </w:t>
            </w:r>
          </w:p>
          <w:p>
            <w:pPr>
              <w:pStyle w:val="null3"/>
              <w:ind w:firstLine="400"/>
              <w:jc w:val="center"/>
            </w:pPr>
            <w:r>
              <w:rPr>
                <w:rFonts w:ascii="仿宋_GB2312" w:hAnsi="仿宋_GB2312" w:cs="仿宋_GB2312" w:eastAsia="仿宋_GB2312"/>
                <w:sz w:val="20"/>
              </w:rPr>
              <w:t>表</w:t>
            </w:r>
            <w:r>
              <w:rPr>
                <w:rFonts w:ascii="仿宋_GB2312" w:hAnsi="仿宋_GB2312" w:cs="仿宋_GB2312" w:eastAsia="仿宋_GB2312"/>
                <w:sz w:val="20"/>
              </w:rPr>
              <w:t xml:space="preserve">1 </w:t>
            </w:r>
            <w:r>
              <w:rPr>
                <w:rFonts w:ascii="仿宋_GB2312" w:hAnsi="仿宋_GB2312" w:cs="仿宋_GB2312" w:eastAsia="仿宋_GB2312"/>
                <w:sz w:val="20"/>
              </w:rPr>
              <w:t>黄河流域水生态调查基础及特色指标表</w:t>
            </w:r>
          </w:p>
          <w:tbl>
            <w:tblPr>
              <w:tblBorders>
                <w:top w:val="none" w:color="000000" w:sz="4"/>
                <w:left w:val="none" w:color="000000" w:sz="4"/>
                <w:bottom w:val="none" w:color="000000" w:sz="4"/>
                <w:right w:val="none" w:color="000000" w:sz="4"/>
                <w:insideH w:val="none"/>
                <w:insideV w:val="none"/>
              </w:tblBorders>
            </w:tblPr>
            <w:tblGrid>
              <w:gridCol w:w="189"/>
              <w:gridCol w:w="293"/>
              <w:gridCol w:w="393"/>
              <w:gridCol w:w="532"/>
              <w:gridCol w:w="427"/>
              <w:gridCol w:w="706"/>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一级指标</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二级指标</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三级指标</w:t>
                  </w:r>
                </w:p>
              </w:tc>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适用对象</w:t>
                  </w:r>
                </w:p>
              </w:tc>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调查时间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水生生物</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鱼类</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种类组成、鱼类保有指数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河流、湖库</w:t>
                  </w:r>
                </w:p>
              </w:tc>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次，宜选择每年春季（</w:t>
                  </w:r>
                  <w:r>
                    <w:rPr>
                      <w:rFonts w:ascii="仿宋_GB2312" w:hAnsi="仿宋_GB2312" w:cs="仿宋_GB2312" w:eastAsia="仿宋_GB2312"/>
                      <w:sz w:val="20"/>
                    </w:rPr>
                    <w:t>5-6</w:t>
                  </w:r>
                  <w:r>
                    <w:rPr>
                      <w:rFonts w:ascii="仿宋_GB2312" w:hAnsi="仿宋_GB2312" w:cs="仿宋_GB2312" w:eastAsia="仿宋_GB2312"/>
                      <w:sz w:val="20"/>
                    </w:rPr>
                    <w:t>月）、秋季（</w:t>
                  </w:r>
                  <w:r>
                    <w:rPr>
                      <w:rFonts w:ascii="仿宋_GB2312" w:hAnsi="仿宋_GB2312" w:cs="仿宋_GB2312" w:eastAsia="仿宋_GB2312"/>
                      <w:sz w:val="20"/>
                    </w:rPr>
                    <w:t>9-10</w:t>
                  </w:r>
                  <w:r>
                    <w:rPr>
                      <w:rFonts w:ascii="仿宋_GB2312" w:hAnsi="仿宋_GB2312" w:cs="仿宋_GB2312" w:eastAsia="仿宋_GB2312"/>
                      <w:sz w:val="20"/>
                    </w:rPr>
                    <w:t>月）各开展一次</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浮游植物</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密度、生物量、多样性指数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浮游动物</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密度、生物量、多样性指数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重点保护水生生物</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保护物种、濒危物种和特有物种</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有重点保护生物的水体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大型底栖动物</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密度、生物量、</w:t>
                  </w:r>
                  <w:r>
                    <w:rPr>
                      <w:rFonts w:ascii="仿宋_GB2312" w:hAnsi="仿宋_GB2312" w:cs="仿宋_GB2312" w:eastAsia="仿宋_GB2312"/>
                      <w:sz w:val="20"/>
                    </w:rPr>
                    <w:t>BMWP</w:t>
                  </w:r>
                  <w:r>
                    <w:rPr>
                      <w:rFonts w:ascii="仿宋_GB2312" w:hAnsi="仿宋_GB2312" w:cs="仿宋_GB2312" w:eastAsia="仿宋_GB2312"/>
                      <w:sz w:val="20"/>
                    </w:rPr>
                    <w:t>指数、</w:t>
                  </w:r>
                  <w:r>
                    <w:rPr>
                      <w:rFonts w:ascii="仿宋_GB2312" w:hAnsi="仿宋_GB2312" w:cs="仿宋_GB2312" w:eastAsia="仿宋_GB2312"/>
                      <w:sz w:val="20"/>
                    </w:rPr>
                    <w:t>BI</w:t>
                  </w:r>
                  <w:r>
                    <w:rPr>
                      <w:rFonts w:ascii="仿宋_GB2312" w:hAnsi="仿宋_GB2312" w:cs="仿宋_GB2312" w:eastAsia="仿宋_GB2312"/>
                      <w:sz w:val="20"/>
                    </w:rPr>
                    <w:t>指数、完整性指数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河流、浅水湖库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大型水生植物</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盖度、生物量、多样性指数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着生藻类</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密度、生物量、多样性指数、</w:t>
                  </w:r>
                  <w:r>
                    <w:rPr>
                      <w:rFonts w:ascii="仿宋_GB2312" w:hAnsi="仿宋_GB2312" w:cs="仿宋_GB2312" w:eastAsia="仿宋_GB2312"/>
                      <w:sz w:val="20"/>
                    </w:rPr>
                    <w:t>CBI</w:t>
                  </w:r>
                  <w:r>
                    <w:rPr>
                      <w:rFonts w:ascii="仿宋_GB2312" w:hAnsi="仿宋_GB2312" w:cs="仿宋_GB2312" w:eastAsia="仿宋_GB2312"/>
                      <w:sz w:val="20"/>
                    </w:rPr>
                    <w:t>指数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每年</w:t>
                  </w:r>
                  <w:r>
                    <w:rPr>
                      <w:rFonts w:ascii="仿宋_GB2312" w:hAnsi="仿宋_GB2312" w:cs="仿宋_GB2312" w:eastAsia="仿宋_GB2312"/>
                      <w:sz w:val="20"/>
                    </w:rPr>
                    <w:t>1</w:t>
                  </w:r>
                  <w:r>
                    <w:rPr>
                      <w:rFonts w:ascii="仿宋_GB2312" w:hAnsi="仿宋_GB2312" w:cs="仿宋_GB2312" w:eastAsia="仿宋_GB2312"/>
                      <w:sz w:val="20"/>
                    </w:rPr>
                    <w:t>次，宜选择平水期开展</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水生境</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岸线及缓冲带</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水生生境评价指数</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河流、湖库</w:t>
                  </w:r>
                </w:p>
              </w:tc>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每年</w:t>
                  </w:r>
                  <w:r>
                    <w:rPr>
                      <w:rFonts w:ascii="仿宋_GB2312" w:hAnsi="仿宋_GB2312" w:cs="仿宋_GB2312" w:eastAsia="仿宋_GB2312"/>
                      <w:sz w:val="20"/>
                    </w:rPr>
                    <w:t>6-9</w:t>
                  </w:r>
                  <w:r>
                    <w:rPr>
                      <w:rFonts w:ascii="仿宋_GB2312" w:hAnsi="仿宋_GB2312" w:cs="仿宋_GB2312" w:eastAsia="仿宋_GB2312"/>
                      <w:sz w:val="20"/>
                    </w:rPr>
                    <w:t>月开展</w:t>
                  </w:r>
                  <w:r>
                    <w:rPr>
                      <w:rFonts w:ascii="仿宋_GB2312" w:hAnsi="仿宋_GB2312" w:cs="仿宋_GB2312" w:eastAsia="仿宋_GB2312"/>
                      <w:sz w:val="20"/>
                    </w:rPr>
                    <w:t>1</w:t>
                  </w:r>
                  <w:r>
                    <w:rPr>
                      <w:rFonts w:ascii="仿宋_GB2312" w:hAnsi="仿宋_GB2312" w:cs="仿宋_GB2312" w:eastAsia="仿宋_GB2312"/>
                      <w:sz w:val="20"/>
                    </w:rPr>
                    <w:t>次，可根据实际情况进行调整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水体连通性</w:t>
                  </w:r>
                </w:p>
              </w:tc>
              <w:tc>
                <w:tcPr>
                  <w:tcW w:type="dxa" w:w="53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水源涵养区</w:t>
                  </w:r>
                </w:p>
              </w:tc>
              <w:tc>
                <w:tcPr>
                  <w:tcW w:type="dxa" w:w="53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水生生物栖息地</w:t>
                  </w:r>
                </w:p>
              </w:tc>
              <w:tc>
                <w:tcPr>
                  <w:tcW w:type="dxa" w:w="53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湖库水面面积</w:t>
                  </w:r>
                </w:p>
              </w:tc>
              <w:tc>
                <w:tcPr>
                  <w:tcW w:type="dxa" w:w="53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自然保护地</w:t>
                  </w:r>
                </w:p>
              </w:tc>
              <w:tc>
                <w:tcPr>
                  <w:tcW w:type="dxa" w:w="53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水体流域内的自然保护地</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天然湿地面积</w:t>
                  </w:r>
                </w:p>
              </w:tc>
              <w:tc>
                <w:tcPr>
                  <w:tcW w:type="dxa" w:w="53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水体流域内的湿地</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水土保持率</w:t>
                  </w:r>
                </w:p>
              </w:tc>
              <w:tc>
                <w:tcPr>
                  <w:tcW w:type="dxa" w:w="532"/>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水体流域</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水环境</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综合污染状况</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w:t>
                  </w:r>
                </w:p>
              </w:tc>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与地表水国控断面保持一致，按照国家监测方案执行</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综合营养状态</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期污染强度</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河流、湖库</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总氮</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水资源</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生态流量（水位）</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河流（湖库）</w:t>
                  </w:r>
                </w:p>
              </w:tc>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与水利部门的监测频次保持一致，按照水利部门监测方案执行</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含沙量</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河流</w:t>
                  </w:r>
                </w:p>
              </w:tc>
              <w:tc>
                <w:tcPr>
                  <w:tcW w:type="dxa" w:w="706"/>
                  <w:vMerge/>
                  <w:tcBorders>
                    <w:top w:val="none" w:color="000000" w:sz="4"/>
                    <w:left w:val="single" w:color="000000" w:sz="4"/>
                    <w:bottom w:val="single" w:color="000000" w:sz="4"/>
                    <w:right w:val="single" w:color="000000" w:sz="4"/>
                  </w:tcBorders>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93"/>
                  <w:vMerge/>
                  <w:tcBorders>
                    <w:top w:val="none" w:color="000000" w:sz="4"/>
                    <w:left w:val="single" w:color="000000" w:sz="4"/>
                    <w:bottom w:val="single" w:color="000000" w:sz="4"/>
                    <w:right w:val="single" w:color="000000" w:sz="4"/>
                  </w:tcBorders>
                </w:tcP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区域再生水循环利用率</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水体流域</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与住建部门统计频次保持一致，按照住建部门统计方案执行</w:t>
                  </w:r>
                </w:p>
              </w:tc>
            </w:tr>
          </w:tbl>
          <w:p>
            <w:pPr>
              <w:pStyle w:val="null3"/>
              <w:jc w:val="left"/>
            </w:pPr>
            <w:r>
              <w:rPr>
                <w:rFonts w:ascii="仿宋_GB2312" w:hAnsi="仿宋_GB2312" w:cs="仿宋_GB2312" w:eastAsia="仿宋_GB2312"/>
                <w:sz w:val="20"/>
              </w:rPr>
              <w:t>四、预期成果</w:t>
            </w:r>
          </w:p>
          <w:p>
            <w:pPr>
              <w:pStyle w:val="null3"/>
              <w:jc w:val="both"/>
            </w:pPr>
            <w:r>
              <w:rPr>
                <w:rFonts w:ascii="仿宋_GB2312" w:hAnsi="仿宋_GB2312" w:cs="仿宋_GB2312" w:eastAsia="仿宋_GB2312"/>
                <w:sz w:val="20"/>
              </w:rPr>
              <w:t>依据项目监测结果，形成《陕西省重点流域水生生物原始数据集》，《陕西省重点流域水生态调查报告》，《陕西省重点流域水生生物图集》和《黄河流域水生态调查报告》各一份。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据采购需求内容提供团队人员，具体详见采购需求及评审细则</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陕西省环境监测中心站指定地点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合同履约过半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项目验收合格且移交资料后30天内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2、投标保证金注意事项：（1）投标保证金须从投标人户名支付，如从个人户名或非投标人户名支付，将被拒绝，视为自动放弃投标权利（该个人是投标人的情形除外）；以保函形式交纳投标保证金的，投标人应在投标截止时间前将保函原件单独递交至代理机构财务；投标人应在投标文件中附保函复印件。保函必须由具有开具投标保函资格的单位开具；若投标人违约，开具保函单位承担连带责任；（2）投标保证金的提交金额、时间不满足招标文件要求的，响应无效；（3）投标保证金以采购代理机构到账凭证为准，投标人无需更换交纳凭证。（4）未按指定账户提交的，我公司将退回，投标人须在文件递交截止时间前按照指定账户再次提交。 3..本项目经采购人允许可进行分包。注：如以联合体响应的，联合体各方均应当具备本招标文件要求的资格条件和能力。本项目联合体单位最多不可超过2家。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投标人提供2023年度或2024年度经审计的财务报告或投标截止日前三个月内开户银行出具的资信证明文件基本账户信息证明文件或财政部门认可的政府采购专业担保机构开具的投标担保函。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依法缴纳税收的良好记录（提供投标截止时间前六个月内任意一个月份依法纳税证明或无欠税证明）依法免税的投标人应提供相关资料证明。 ）</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依法缴纳社会保障资金的良好记录（提供投标截止时间前六个月内任意一个月份的缴费证明资料）依法不需要缴纳社会保障资金的投标人应提供相关资料证明。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 （提供承诺函）。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(4)报价超过招标文件中规定的最高限价的； (5)法律、法规和招标文件规定的其他无效情形。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投标人2019年1月1日至今实施过类似水生态监测或水生态调查或水生态评估相关的业绩，每个业绩1分，最多6分。 注：需提供合同原件扫描件或复印件加盖公章，以合同签订时间为准，证明材料买卖双方名称及盖章、服务内容、合同签订日期，否则不予认定。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能力</w:t>
            </w:r>
          </w:p>
        </w:tc>
        <w:tc>
          <w:tcPr>
            <w:tcW w:type="dxa" w:w="2492"/>
          </w:tcPr>
          <w:p>
            <w:pPr>
              <w:pStyle w:val="null3"/>
            </w:pPr>
            <w:r>
              <w:rPr>
                <w:rFonts w:ascii="仿宋_GB2312" w:hAnsi="仿宋_GB2312" w:cs="仿宋_GB2312" w:eastAsia="仿宋_GB2312"/>
              </w:rPr>
              <w:t>投标人曾承担或参与过与水生态调查或水生态评估相关的国家重大科技专项或国家自然科学基金，提供合同书或计划书扫描件，扫描件中应包含项目金额、双方名称及项目承担日期（项目承担时间为2019年1月1日至今）。每项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能力</w:t>
            </w:r>
          </w:p>
        </w:tc>
        <w:tc>
          <w:tcPr>
            <w:tcW w:type="dxa" w:w="2492"/>
          </w:tcPr>
          <w:p>
            <w:pPr>
              <w:pStyle w:val="null3"/>
            </w:pPr>
            <w:r>
              <w:rPr>
                <w:rFonts w:ascii="仿宋_GB2312" w:hAnsi="仿宋_GB2312" w:cs="仿宋_GB2312" w:eastAsia="仿宋_GB2312"/>
              </w:rPr>
              <w:t>投标人拥有环境生态类或环境治理相关的省部级及以上重点实验室，得2分。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能力</w:t>
            </w:r>
          </w:p>
        </w:tc>
        <w:tc>
          <w:tcPr>
            <w:tcW w:type="dxa" w:w="2492"/>
          </w:tcPr>
          <w:p>
            <w:pPr>
              <w:pStyle w:val="null3"/>
            </w:pPr>
            <w:r>
              <w:rPr>
                <w:rFonts w:ascii="仿宋_GB2312" w:hAnsi="仿宋_GB2312" w:cs="仿宋_GB2312" w:eastAsia="仿宋_GB2312"/>
              </w:rPr>
              <w:t>投标人曾获得过跟本项目相关国家级一等奖或国家级二等奖或省部级一等奖得5分，省部级二等奖的得3分。本项最高得5分。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投入的人员为投标单位正式员工，提供姓名、开标日近六个月内任意三个月由投标单位为投入人员缴纳社会保险证明扫描件并加盖公章，否则不予认定加分。 （1）项目负责人（3分） 投入的项目负责人具备水生生物学专业教授或从事生态环境监测领域 15 年以上的教授级高级工程师职称（或以上），提供证书扫描件得3分，副高得1分，其他0分。 （2）团队人员学位评价（本项最高得5分） ①投入本项目团队人员（不包含项目负责人）中具备环境类或生态类相关专业博士学位至少2人，提供证书扫描件的3分； ②具备环境类或生态类相关专业硕士学位至少2人，提供证书扫描件的2分； ③具备环境类或生态类相关专业本科学位至少2人，提供证书扫描件的1分； 不满足0分。 在满足上述要求基础上，①每增加1名博士学位人员，提供证书扫描件得1分，②每增加1名硕士学位人员，提供证书扫描件得0.5分；③每增加1名本科学位人员，提供证书扫描件得0.25分，本项最多2分； （3）团队人员职称评价（3分） 投入本项目团队人员（不包含项目负责人）中具备环境类或生物类相关专业副高级职称至少2人，提供证书扫描件的3分，不满足0分。 （4）提供驻场服务（2分） 提供硕士研究生或以上相关学历的人员驻场服务，服务期为一年得1分。 在满足上述要求基础上，每增加1名副高级职称人员，提供证书扫描件得1分，最多1分。 投标人未提供承诺函及相关证书此项不得分。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根据投标人针对本项目背景与目的意义理解、认识程度、整体服务方案等进行综合评审。 ①投标人对项目的背景与目的意义解读到位、认识深刻、整体服务方案条理清晰，重点突出、 目标明确、具有可实施性，方法科学、合理，完全满足项目要求计7分； ②对本项目的背景与目的意义解读较为到位、有一定的认识和理解，方案重点较突出、目标较清晰，方法较科学、合理，能够较好的满足项目要求计5分； ③对本项目的背景与目的意义解读基本到位、方案基本满足项目要求计3分； 对本项目的背景与目的意义解读有偏差、理解不到位，方案基本满足项目要求得1分； 注：不提供不计分。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根据投标人针对本项目工作重点、难点认识及应对措施等进行综合评审。 ①对工作重点、难点认识准确、描述清晰、措施得当、具体合理，并能提出合理化建议得8分； ②工作重点、难点认识比较准确、描述一般、措施基本合理得5分； ③工作重点、难点认识一般、描述急措施一般得2分。 注：不提供不计分。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投标人对本项目的各类监测数据要求及系统开发要求认识深刻，且提供目标明确、条理清晰、重点突出、具有科学创新的实施方法、可行性强、针对性强的整体服务方案。 满足招标文件要求，无瑕疵：8分； 方案内容存在1处瑕疵：7分； 方案内容存在2处瑕疵：6分； 方案内容存在3处瑕疵：4分； 方案内容存在4处瑕疵：2分； 方案内容存在5处瑕疵：1分； 未提供方案或不满足招标文件要求或内容存在6处及以上瑕疵：0分。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项目进度保障方案</w:t>
            </w:r>
          </w:p>
        </w:tc>
        <w:tc>
          <w:tcPr>
            <w:tcW w:type="dxa" w:w="2492"/>
          </w:tcPr>
          <w:p>
            <w:pPr>
              <w:pStyle w:val="null3"/>
            </w:pPr>
            <w:r>
              <w:rPr>
                <w:rFonts w:ascii="仿宋_GB2312" w:hAnsi="仿宋_GB2312" w:cs="仿宋_GB2312" w:eastAsia="仿宋_GB2312"/>
              </w:rPr>
              <w:t>投标人针对本项目各类监测数据成果提交的时间要求，提供详尽的项目进度计划安排、执行组织措施、进度控制制度及措施，针对性强，可保证项目所需成果按时提交。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质量保证措施和管控机制</w:t>
            </w:r>
          </w:p>
        </w:tc>
        <w:tc>
          <w:tcPr>
            <w:tcW w:type="dxa" w:w="2492"/>
          </w:tcPr>
          <w:p>
            <w:pPr>
              <w:pStyle w:val="null3"/>
            </w:pPr>
            <w:r>
              <w:rPr>
                <w:rFonts w:ascii="仿宋_GB2312" w:hAnsi="仿宋_GB2312" w:cs="仿宋_GB2312" w:eastAsia="仿宋_GB2312"/>
              </w:rPr>
              <w:t>针对本项目实施过程中监测成果、系统开发质量要求及各类监测数据提交精度要求，投标人提供合理、可行的质量管控机制、质量保障措施及相应的技术方法或手段等。 满足招标文件要求，无瑕疵：8分； 方案内容存在1处瑕疵：6分； 方案内容存在2处瑕疵：4分； 方案内容存在3处瑕疵：2分； 未提供方案或不满足招标文件要求或内容存在4处及以上瑕疵：0分。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针对本项目需求及可能出现的紧急状况，投标人提供细致、全面的应急处理方案及故障处理预案。 满足招标文件要求，无瑕疵：4分； 方案内容存在1处瑕疵：2分；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预期成果内容及分类</w:t>
            </w:r>
          </w:p>
        </w:tc>
        <w:tc>
          <w:tcPr>
            <w:tcW w:type="dxa" w:w="2492"/>
          </w:tcPr>
          <w:p>
            <w:pPr>
              <w:pStyle w:val="null3"/>
            </w:pPr>
            <w:r>
              <w:rPr>
                <w:rFonts w:ascii="仿宋_GB2312" w:hAnsi="仿宋_GB2312" w:cs="仿宋_GB2312" w:eastAsia="仿宋_GB2312"/>
              </w:rPr>
              <w:t>结合本项目不同监测项目内容及其具体实施要求，投标人对预期提交的成果进行全面整理并合理分类。针对预期成果分类是否合理、成果内容的描述是否准确具体、全面进行综合评审、 满足招标文件要求，无瑕疵：6分； 方案内容存在1处瑕疵：4分； 方案内容存在2处瑕疵：2分；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投标人针对本项目要求提供完善、可行、有针对性的验收方案，确保项目顺利进行。 满足招标文件要求，无瑕疵：5分； 方案内容存在1处瑕疵：3分； 方案内容存在2处瑕疵：1分； 未提供方案或不满足招标文件要求或内容存在3处及以上瑕疵：0分。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投标人须针对本项目和采购人实际需求提供培训方案。方案涵盖但不限于培训对象和内容、培训方式、培训流程、培训日程安排等。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投标人根据本项目服务要求，作出切实可行的服务承诺、保密承诺及人员储备承诺，确保项目能按时按质完成，在达到服务要求且能保证项目质量。 每提供1条承诺得1分，满分3分。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投标人针对本项目提供切实可行的合理化建议，可有益于本项目在技术、质量、进度等方面进行改进。 满足招标文件要求，无瑕疵：2分； 方案内容存在1处瑕疵：1分； 未提供方案或不满足招标文件要求或内容存在2处及以上瑕疵：0分。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