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版本号：WSQ-2025-37620250613001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儿童医院北侧街坊项目考古勘探劳务协作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WSQ-2025-376</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儿童医院北侧街坊项目考古勘探劳务协作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WSQ-2025-376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儿童医院北侧街坊项目考古勘探劳务协作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儿童医院北侧街坊项目考古勘探劳务协作，具体内容详见磋商文件第三章。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采购包1（儿童医院北侧街坊项目考古勘探劳务协作）：属于专门面向中小企业采购。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029-84198629 15389248069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采购包1：820,663.74元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西安市未央区草滩八路以东、尚稷路以北，面积为227962.15㎡，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820,663.74</w:t>
      </w:r>
    </w:p>
    <w:p>
      <w:pPr>
        <w:pStyle w:val="null3"/>
      </w:pPr>
      <w:r>
        <w:rPr>
          <w:rFonts w:ascii="仿宋_GB2312" w:hAnsi="仿宋_GB2312" w:cs="仿宋_GB2312" w:eastAsia="仿宋_GB2312"/>
        </w:rPr>
        <w:t>采购包最高限价（元）: 820,663.74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820,663.74</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陕西省西安市未央区草滩八路以东、尚稷路以北</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