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bookmarkStart w:id="0" w:name="_GoBack"/>
      <w:r>
        <w:rPr>
          <w:b/>
          <w:sz w:val="28"/>
        </w:rPr>
        <w:t>国产密码算法ETC车载装置系统开发完善设计方案编制</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ascii="宋体" w:hAnsi="宋体" w:cs="宋体"/>
          <w:sz w:val="24"/>
          <w:u w:val="single"/>
          <w:lang w:eastAsia="zh-CN"/>
        </w:rPr>
        <w:t>国产密码算法ETC车载装置系统开发完善设计方案编制项目</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10</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69CD61A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color w:val="auto"/>
          <w:sz w:val="24"/>
        </w:rPr>
        <w:t>（一）合同签订且生效之日起，供应商提供工可报告及一阶段施工图设计初稿后</w:t>
      </w:r>
      <w:r>
        <w:rPr>
          <w:rFonts w:hint="eastAsia"/>
          <w:color w:val="auto"/>
          <w:sz w:val="24"/>
          <w:lang w:eastAsia="zh-CN"/>
        </w:rPr>
        <w:t>，</w:t>
      </w:r>
      <w:r>
        <w:rPr>
          <w:rFonts w:hint="eastAsia"/>
          <w:color w:val="auto"/>
          <w:sz w:val="24"/>
          <w:lang w:val="en-US" w:eastAsia="zh-CN"/>
        </w:rPr>
        <w:t>达到付款条件起</w:t>
      </w:r>
      <w:r>
        <w:rPr>
          <w:rFonts w:hint="eastAsia"/>
          <w:color w:val="auto"/>
          <w:sz w:val="24"/>
        </w:rPr>
        <w:t>15 日内支付合同价款的 40%；采购人组织专家评审，供应商按专家意见修改并经专家和采购人确认，项目验收通过后</w:t>
      </w:r>
      <w:r>
        <w:rPr>
          <w:rFonts w:hint="eastAsia"/>
          <w:color w:val="auto"/>
          <w:sz w:val="24"/>
          <w:lang w:eastAsia="zh-CN"/>
        </w:rPr>
        <w:t>，</w:t>
      </w:r>
      <w:r>
        <w:rPr>
          <w:rFonts w:hint="eastAsia"/>
          <w:color w:val="auto"/>
          <w:sz w:val="24"/>
          <w:lang w:val="en-US" w:eastAsia="zh-CN"/>
        </w:rPr>
        <w:t>达到付款条件起</w:t>
      </w:r>
      <w:r>
        <w:rPr>
          <w:rFonts w:hint="eastAsia"/>
          <w:color w:val="auto"/>
          <w:sz w:val="24"/>
        </w:rPr>
        <w:t xml:space="preserve"> 15 日内支付合同总价款的 60%。</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r>
        <w:rPr>
          <w:rFonts w:hint="eastAsia" w:ascii="宋体" w:hAnsi="宋体" w:eastAsia="宋体" w:cs="宋体"/>
          <w:b w:val="0"/>
          <w:bCs w:val="0"/>
          <w:sz w:val="24"/>
          <w:szCs w:val="24"/>
          <w:shd w:val="clear" w:color="auto" w:fill="FFFFFF"/>
        </w:rPr>
        <w:t>自合同签订之日起2个月内。</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2AAA27BF"/>
    <w:rsid w:val="36796ED3"/>
    <w:rsid w:val="3CDC1D33"/>
    <w:rsid w:val="49EC1F0C"/>
    <w:rsid w:val="4C4836F4"/>
    <w:rsid w:val="56EA3C09"/>
    <w:rsid w:val="5CD1692A"/>
    <w:rsid w:val="60434EA7"/>
    <w:rsid w:val="66072951"/>
    <w:rsid w:val="69596FA6"/>
    <w:rsid w:val="6B1271E1"/>
    <w:rsid w:val="6BB81597"/>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1380</Characters>
  <Lines>0</Lines>
  <Paragraphs>0</Paragraphs>
  <TotalTime>0</TotalTime>
  <ScaleCrop>false</ScaleCrop>
  <LinksUpToDate>false</LinksUpToDate>
  <CharactersWithSpaces>1471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2025-03-17T03:59:03Z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