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版本号：ZJZC202506130120250616002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2025年研究生公寓改造项目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ZJZC2025061301</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2025年研究生公寓改造项目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ZJZC2025061301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2025年研究生公寓改造项目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宝鸡文理学院2025年研究生公寓改造项目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采购包1（2025年研究生公寓改造项目）：属于专门面向中小企业采购。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2、资质要求：需提供建筑装修装饰二级及以上资质，且安全生产许可证合法有效；</w:t>
      </w:r>
    </w:p>
    <w:p>
      <w:pPr>
        <w:pStyle w:val="null3"/>
      </w:pPr>
      <w:r>
        <w:rPr>
          <w:rFonts w:ascii="仿宋_GB2312" w:hAnsi="仿宋_GB2312" w:cs="仿宋_GB2312" w:eastAsia="仿宋_GB2312"/>
        </w:rPr>
        <w:t>3、项目负责人资质要求：拟派项目经理具有建筑工程专业二级及以上注册建造师资格并具有安全生产考核合格B证，且未担任其他在建项目的必须是本单位的在职注册人员。</w:t>
      </w:r>
    </w:p>
    <w:p>
      <w:pPr>
        <w:pStyle w:val="null3"/>
      </w:pPr>
      <w:r>
        <w:rPr>
          <w:rFonts w:ascii="仿宋_GB2312" w:hAnsi="仿宋_GB2312" w:cs="仿宋_GB2312" w:eastAsia="仿宋_GB2312"/>
        </w:rPr>
        <w:t>4、法人代表授权书：供应商应授权合法的人员参加磋商，其中法定代表的，须出具法定代表人身份证。授权代表参加磋商的，须出具法定代表人授权书及授权代表身份证。</w:t>
      </w:r>
    </w:p>
    <w:p>
      <w:pPr>
        <w:pStyle w:val="null3"/>
      </w:pPr>
      <w:r>
        <w:rPr>
          <w:rFonts w:ascii="仿宋_GB2312" w:hAnsi="仿宋_GB2312" w:cs="仿宋_GB2312" w:eastAsia="仿宋_GB2312"/>
        </w:rPr>
        <w:t>5、财务状况：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6、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7、社会保障资金缴纳证明：提供2024年6月（含6月）以后至少一个月的社会保障资金缴存单据或社保机构开具的社会保险参保缴费情况证明，依法不需要缴纳社会保障资金的供应商应提供相关文件证明。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9、履约能力承诺：提供具有履行本合同所必需的设备和专业技术能力的承诺。</w:t>
      </w:r>
    </w:p>
    <w:p>
      <w:pPr>
        <w:pStyle w:val="null3"/>
      </w:pPr>
      <w:r>
        <w:rPr>
          <w:rFonts w:ascii="仿宋_GB2312" w:hAnsi="仿宋_GB2312" w:cs="仿宋_GB2312" w:eastAsia="仿宋_GB2312"/>
        </w:rPr>
        <w:t>10、违法记录声明：提供参加政府采购活动前三年内在经营活动中没有重大违法记录的书面声明。</w:t>
      </w:r>
    </w:p>
    <w:p>
      <w:pPr>
        <w:pStyle w:val="null3"/>
      </w:pPr>
      <w:r>
        <w:rPr>
          <w:rFonts w:ascii="仿宋_GB2312" w:hAnsi="仿宋_GB2312" w:cs="仿宋_GB2312" w:eastAsia="仿宋_GB2312"/>
        </w:rPr>
        <w:t>11、非联合体承诺：提供非联合体投标承诺书。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宝鸡文理学院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徐睿，吁元铭，裴慢慢，于晓风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17602914546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开户名称：中建华阳建设项目管理有限责任公司</w:t>
            </w:r>
          </w:p>
          <w:p>
            <w:pPr>
              <w:pStyle w:val="null3"/>
            </w:pPr>
            <w:r>
              <w:rPr>
                <w:rFonts w:ascii="仿宋_GB2312" w:hAnsi="仿宋_GB2312" w:cs="仿宋_GB2312" w:eastAsia="仿宋_GB2312"/>
              </w:rPr>
              <w:t>开户银行：中国建设银行西安金花路支行</w:t>
            </w:r>
          </w:p>
          <w:p>
            <w:pPr>
              <w:pStyle w:val="null3"/>
            </w:pPr>
            <w:r>
              <w:rPr>
                <w:rFonts w:ascii="仿宋_GB2312" w:hAnsi="仿宋_GB2312" w:cs="仿宋_GB2312" w:eastAsia="仿宋_GB2312"/>
              </w:rPr>
              <w:t>银行账号：61050186540009888888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 号）及发改办价格[2003]857 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宝鸡文理学院</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工程质量验收按政府质量监督部门提供的现有的国家规定的验收标准执行，达到合格标准及以上</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联系人：徐睿，吁元铭，裴慢慢，于晓风</w:t>
      </w:r>
    </w:p>
    <w:p>
      <w:pPr>
        <w:pStyle w:val="null3"/>
      </w:pPr>
      <w:r>
        <w:rPr>
          <w:rFonts w:ascii="仿宋_GB2312" w:hAnsi="仿宋_GB2312" w:cs="仿宋_GB2312" w:eastAsia="仿宋_GB2312"/>
        </w:rPr>
        <w:t>联系电话：17602914546</w:t>
      </w:r>
    </w:p>
    <w:p>
      <w:pPr>
        <w:pStyle w:val="null3"/>
      </w:pPr>
      <w:r>
        <w:rPr>
          <w:rFonts w:ascii="仿宋_GB2312" w:hAnsi="仿宋_GB2312" w:cs="仿宋_GB2312" w:eastAsia="仿宋_GB2312"/>
        </w:rPr>
        <w:t>地址：陕西省西安市新城区陕西省西安市新城区长乐中路242号金花新都汇A座写字楼24层06室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604,300.00</w:t>
      </w:r>
    </w:p>
    <w:p>
      <w:pPr>
        <w:pStyle w:val="null3"/>
      </w:pPr>
      <w:r>
        <w:rPr>
          <w:rFonts w:ascii="仿宋_GB2312" w:hAnsi="仿宋_GB2312" w:cs="仿宋_GB2312" w:eastAsia="仿宋_GB2312"/>
        </w:rPr>
        <w:t>采购包最高限价（元）: 604,300.00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公寓改造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604,300.00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、项目类型、数量、清单</w:t>
            </w:r>
          </w:p>
          <w:tbl>
            <w:tblPr>
              <w:tblBorders>
                <w:top w:val="none" w:color="000000" w:sz="4"/>
                <w:left w:val="none" w:color="000000" w:sz="4"/>
                <w:bottom w:val="none" w:color="000000" w:sz="4"/>
                <w:right w:val="none" w:color="000000" w:sz="4"/>
                <w:insideH w:val="none"/>
                <w:insideV w:val="none"/>
              </w:tblBorders>
            </w:tblPr>
            <w:tblGrid>
              <w:gridCol w:w="332"/>
              <w:gridCol w:w="1001"/>
              <w:gridCol w:w="356"/>
              <w:gridCol w:w="348"/>
              <w:gridCol w:w="504"/>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地点</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工程量</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研究生宿舍</w:t>
                  </w:r>
                  <w:r>
                    <w:rPr>
                      <w:rFonts w:ascii="仿宋_GB2312" w:hAnsi="仿宋_GB2312" w:cs="仿宋_GB2312" w:eastAsia="仿宋_GB2312"/>
                      <w:sz w:val="24"/>
                    </w:rPr>
                    <w:t>2至6层改造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铲除墙面</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462</w:t>
                  </w: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拆除窗帘</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拆除暖气片木饰罩</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拆除洗手台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宿舍墙面天棚乳胶漆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r>
                    <w:rPr>
                      <w:rFonts w:ascii="仿宋_GB2312" w:hAnsi="仿宋_GB2312" w:cs="仿宋_GB2312" w:eastAsia="仿宋_GB2312"/>
                      <w:sz w:val="24"/>
                    </w:rPr>
                    <w:t>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卫生间墙面天棚乳胶漆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卫生间防水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窗帘</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石材窗台板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1层管理间改造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铲除墙面</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拆除窗帘</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拆除洗手台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宿舍墙面天棚乳胶漆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卫生间墙面天棚乳胶漆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木门油漆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卫生间防水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窗帘</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铲除墙面</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公寓</w:t>
                  </w:r>
                  <w:r>
                    <w:rPr>
                      <w:rFonts w:ascii="仿宋_GB2312" w:hAnsi="仿宋_GB2312" w:cs="仿宋_GB2312" w:eastAsia="仿宋_GB2312"/>
                      <w:sz w:val="24"/>
                    </w:rPr>
                    <w:t>1至6层楼梯间改造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铲除墙面</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金属地弹门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公寓东侧</w:t>
                  </w:r>
                  <w:r>
                    <w:rPr>
                      <w:rFonts w:ascii="仿宋_GB2312" w:hAnsi="仿宋_GB2312" w:cs="仿宋_GB2312" w:eastAsia="仿宋_GB2312"/>
                      <w:sz w:val="24"/>
                    </w:rPr>
                    <w:t>1楼原奶茶店改造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房间改造</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宿舍墙面天棚乳胶漆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卫生间墙面天棚乳胶漆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塑钢窗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管理中心</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金属地弹门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家具拆搬</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完工精洁</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垃圾外运</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原灯具拆除</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原吊扇拆除</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房间线路改造</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普通吸顶灯及其他灯具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LED圆形吸顶灯φ300</w:t>
                  </w: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普通吸顶灯及其他灯具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LED方形吸顶灯600*600</w:t>
                  </w: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普通吸顶灯及其他灯具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LED方形吸顶灯300*600</w:t>
                  </w: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照明开关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五孔插座</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网络插座</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吊扇</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给排水改造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洗手盆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洗手盆上下水改造</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暖气片改造</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新增暖气片</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暖气片移位</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
                  <w:vMerge/>
                  <w:tcBorders>
                    <w:top w:val="none" w:color="000000" w:sz="4"/>
                    <w:left w:val="singl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暖气片油漆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二、技术参数：</w:t>
            </w:r>
          </w:p>
          <w:p>
            <w:pPr>
              <w:pStyle w:val="null3"/>
              <w:jc w:val="left"/>
            </w:pPr>
            <w:r>
              <w:rPr>
                <w:rFonts w:ascii="仿宋_GB2312" w:hAnsi="仿宋_GB2312" w:cs="仿宋_GB2312" w:eastAsia="仿宋_GB2312"/>
                <w:sz w:val="32"/>
                <w:b/>
              </w:rPr>
              <w:t>（</w:t>
            </w: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电气</w:t>
            </w:r>
            <w:r>
              <w:rPr>
                <w:rFonts w:ascii="仿宋_GB2312" w:hAnsi="仿宋_GB2312" w:cs="仿宋_GB2312" w:eastAsia="仿宋_GB2312"/>
                <w:sz w:val="32"/>
                <w:b/>
              </w:rPr>
              <w:t>部分技术要求</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功能和目标：明确采购标的需要实现的功能或者目标，以及为落实政府采购政策需满足的要求。</w:t>
            </w:r>
          </w:p>
          <w:p>
            <w:pPr>
              <w:pStyle w:val="null3"/>
              <w:ind w:firstLine="640"/>
              <w:jc w:val="left"/>
            </w:pPr>
            <w:r>
              <w:rPr>
                <w:rFonts w:ascii="仿宋_GB2312" w:hAnsi="仿宋_GB2312" w:cs="仿宋_GB2312" w:eastAsia="仿宋_GB2312"/>
                <w:sz w:val="32"/>
              </w:rPr>
              <w:t>2、标准和规范：列出本项目需执行的国家相关标准、行业标准、地方标准或其他标准、规范。</w:t>
            </w:r>
          </w:p>
          <w:p>
            <w:pPr>
              <w:pStyle w:val="null3"/>
              <w:ind w:firstLine="640"/>
              <w:jc w:val="left"/>
            </w:pPr>
            <w:r>
              <w:rPr>
                <w:rFonts w:ascii="仿宋_GB2312" w:hAnsi="仿宋_GB2312" w:cs="仿宋_GB2312" w:eastAsia="仿宋_GB2312"/>
                <w:sz w:val="32"/>
              </w:rPr>
              <w:t>3、质量、安全和技术规格：详细说明本项目需满足的质量、安全、技术规格、物理特性等要求。例如，合格产品，符合国家相关食品安全卫生标准；安全要求应满足国家相关法律法规的要求。</w:t>
            </w:r>
          </w:p>
          <w:p>
            <w:pPr>
              <w:pStyle w:val="null3"/>
              <w:ind w:firstLine="640"/>
              <w:jc w:val="left"/>
            </w:pPr>
            <w:r>
              <w:rPr>
                <w:rFonts w:ascii="仿宋_GB2312" w:hAnsi="仿宋_GB2312" w:cs="仿宋_GB2312" w:eastAsia="仿宋_GB2312"/>
                <w:sz w:val="32"/>
              </w:rPr>
              <w:t>4、数量、时间和地点要求：明确采购标的的数量、采购项目交付或者实施的时间和地点要求。</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标准：按国家现行法律法规的要求进行验收。</w:t>
            </w:r>
          </w:p>
          <w:p>
            <w:pPr>
              <w:pStyle w:val="null3"/>
              <w:ind w:firstLine="321"/>
              <w:jc w:val="left"/>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装修部分技术要</w:t>
            </w:r>
            <w:r>
              <w:rPr>
                <w:rFonts w:ascii="仿宋_GB2312" w:hAnsi="仿宋_GB2312" w:cs="仿宋_GB2312" w:eastAsia="仿宋_GB2312"/>
                <w:sz w:val="32"/>
                <w:b/>
              </w:rPr>
              <w:t>求</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质量标准和技术要求：符合国家现行有关施工质量验收规范</w:t>
            </w:r>
            <w:r>
              <w:rPr>
                <w:rFonts w:ascii="仿宋_GB2312" w:hAnsi="仿宋_GB2312" w:cs="仿宋_GB2312" w:eastAsia="仿宋_GB2312"/>
                <w:sz w:val="32"/>
              </w:rPr>
              <w:t>“合格”要求。</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本工程施工中所用材料须有产品生产许可证和出厂验收合格证等相关证书。</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乳胶漆涂饰工程应涂饰均匀，粘接牢固，不得漏涂、透底、起皮和反锈。</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基层腻子应平整、坚实、牢固、无粉化、起皮和裂缝，内墙腻子的粘接强度应符合《建筑室内腻子》（</w:t>
            </w:r>
            <w:r>
              <w:rPr>
                <w:rFonts w:ascii="仿宋_GB2312" w:hAnsi="仿宋_GB2312" w:cs="仿宋_GB2312" w:eastAsia="仿宋_GB2312"/>
                <w:sz w:val="32"/>
              </w:rPr>
              <w:t>JG/T3049）的规定。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乳胶漆涂饰质量依据《国家建筑装饰装修工程质量验收规范》</w:t>
            </w:r>
            <w:r>
              <w:rPr>
                <w:rFonts w:ascii="仿宋_GB2312" w:hAnsi="仿宋_GB2312" w:cs="仿宋_GB2312" w:eastAsia="仿宋_GB2312"/>
                <w:sz w:val="32"/>
              </w:rPr>
              <w:t>GB50210—2001规范标准施工，严格按照标准和工艺流程施工，严把质量关，确保施工质量达到合格，符合验收标准。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三、项目要求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墙面局部污物铲除清理；</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点补腻子两遍，打磨平整光滑；</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涂乳胶漆两遍；（乳胶漆产品实物质量符合</w:t>
            </w:r>
            <w:r>
              <w:rPr>
                <w:rFonts w:ascii="仿宋_GB2312" w:hAnsi="仿宋_GB2312" w:cs="仿宋_GB2312" w:eastAsia="仿宋_GB2312"/>
                <w:sz w:val="32"/>
              </w:rPr>
              <w:t>GB/T9756-2009及GB18582-2008标准的要求）;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架子床带柜子移动恢复（双体），室内电器设施、蚊帐杆防护妥当，损坏部分照价赔偿；</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毕业生宿舍阳台清洁彻底干净，验收合格；</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学生宿舍粉刷银粉之前必须对暖气片及管道生锈的部分进行除锈；</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完工后打扫施工区域</w:t>
            </w:r>
            <w:r>
              <w:rPr>
                <w:rFonts w:ascii="仿宋_GB2312" w:hAnsi="仿宋_GB2312" w:cs="仿宋_GB2312" w:eastAsia="仿宋_GB2312"/>
                <w:sz w:val="32"/>
              </w:rPr>
              <w:t>，</w:t>
            </w:r>
            <w:r>
              <w:rPr>
                <w:rFonts w:ascii="仿宋_GB2312" w:hAnsi="仿宋_GB2312" w:cs="仿宋_GB2312" w:eastAsia="仿宋_GB2312"/>
                <w:sz w:val="32"/>
              </w:rPr>
              <w:t>保证干净整洁</w:t>
            </w:r>
            <w:r>
              <w:rPr>
                <w:rFonts w:ascii="仿宋_GB2312" w:hAnsi="仿宋_GB2312" w:cs="仿宋_GB2312" w:eastAsia="仿宋_GB2312"/>
                <w:sz w:val="3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需提供建筑装修装饰二级及以上资质，且安全生产许可证合法有效；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拟派项目经理具有建筑工程专业二级及以上注册建造师资格并具有安全生产考核合格B证，且未担任其他在建项目的必须是本单位的在职注册人员。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供应商应授权合法的人员参加磋商，其中法定代表的，须出具法定代表人身份证。授权代表参加磋商的，须出具法定代表人授权书及授权代表身份证。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施工组织设计8.docx 项目业绩表.docx 施工组织设计5.docx 施工组织设计2.docx 资格证明文件.docx 施工组织设计3.docx 施工组织设计6.docx 施工组织设计9.docx 标的清单 商务偏离表.docx 主要人员简历表 施工组织设计10.docx 监狱企业的证明文件 已标价工程量清单 施工组织设计1.docx 施工组织设计4.docx 中小企业声明函 施工组织设计7.docx 响应文件封面 施工组织设计11.docx 项目管理机构组成表 残疾人福利性单位声明函 报价函 其他资料.docx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施工组织设计8.docx 项目业绩表.docx 施工组织设计5.docx 施工组织设计2.docx 资格证明文件.docx 施工组织设计3.docx 施工组织设计6.docx 施工组织设计9.docx 标的清单 商务偏离表.docx 主要人员简历表 施工组织设计10.docx 监狱企业的证明文件 已标价工程量清单 施工组织设计1.docx 施工组织设计4.docx 中小企业声明函 施工组织设计7.docx 响应文件封面 施工组织设计11.docx 项目管理机构组成表 残疾人福利性单位声明函 报价函 其他资料.docx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确保工程质量的技术组织措施（1-6分），未提供不得分。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确保安全生产的技术组织措施（1-6分），未提供不得分。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施工组织设计2.docx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确保文明施工的技术组织措施、环境保护措施、成品保护措施（1-6分），未提供不得分。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施工组织设计3.docx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确保工期的技术组织措施（1-6分），未提供不得分。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施工组织设计4.docx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施工方案及项目经理部组成，根据项目人员组成、专业证书、项目经理同类项目业绩综合赋分（1-6分），未提供不得分。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施工组织设计5.docx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施工机械配备和材料投入计划（1-6分），未提供不得分。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施工组织设计6.docx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劳动力安排计划及劳务分包情况表（1-6分），未提供不得分。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施工组织设计7.docx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施工进度表或施工网络图（1-6分），未提供不得分。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施工组织设计8.docx</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新技术、新产品、新工艺、新材料应用及施工现场扬尘预防措施和拆除垃圾清运方案（1-3分），未提供不得分。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施工组织设计9.docx</w:t>
            </w:r>
          </w:p>
        </w:tc>
      </w:tr>
      <w:tr>
        <w:tc>
          <w:tcPr>
            <w:tcW w:type="dxa" w:w="831"/>
            <w:vMerge/>
          </w:tcPr>
          <w:p/>
        </w:tc>
        <w:tc>
          <w:tcPr>
            <w:tcW w:type="dxa" w:w="1661"/>
          </w:tcPr>
          <w:p>
            <w:pPr>
              <w:pStyle w:val="null3"/>
            </w:pPr>
            <w:r>
              <w:rPr>
                <w:rFonts w:ascii="仿宋_GB2312" w:hAnsi="仿宋_GB2312" w:cs="仿宋_GB2312" w:eastAsia="仿宋_GB2312"/>
              </w:rPr>
              <w:t>施工组织设计10</w:t>
            </w:r>
          </w:p>
        </w:tc>
        <w:tc>
          <w:tcPr>
            <w:tcW w:type="dxa" w:w="2492"/>
          </w:tcPr>
          <w:p>
            <w:pPr>
              <w:pStyle w:val="null3"/>
            </w:pPr>
            <w:r>
              <w:rPr>
                <w:rFonts w:ascii="仿宋_GB2312" w:hAnsi="仿宋_GB2312" w:cs="仿宋_GB2312" w:eastAsia="仿宋_GB2312"/>
              </w:rPr>
              <w:t>后续服务保障承诺（1-3），未提供不得分。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施工组织设计10.docx</w:t>
            </w:r>
          </w:p>
        </w:tc>
      </w:tr>
      <w:tr>
        <w:tc>
          <w:tcPr>
            <w:tcW w:type="dxa" w:w="831"/>
            <w:vMerge/>
          </w:tcPr>
          <w:p/>
        </w:tc>
        <w:tc>
          <w:tcPr>
            <w:tcW w:type="dxa" w:w="1661"/>
          </w:tcPr>
          <w:p>
            <w:pPr>
              <w:pStyle w:val="null3"/>
            </w:pPr>
            <w:r>
              <w:rPr>
                <w:rFonts w:ascii="仿宋_GB2312" w:hAnsi="仿宋_GB2312" w:cs="仿宋_GB2312" w:eastAsia="仿宋_GB2312"/>
              </w:rPr>
              <w:t>施工组织设计11</w:t>
            </w:r>
          </w:p>
        </w:tc>
        <w:tc>
          <w:tcPr>
            <w:tcW w:type="dxa" w:w="2492"/>
          </w:tcPr>
          <w:p>
            <w:pPr>
              <w:pStyle w:val="null3"/>
            </w:pPr>
            <w:r>
              <w:rPr>
                <w:rFonts w:ascii="仿宋_GB2312" w:hAnsi="仿宋_GB2312" w:cs="仿宋_GB2312" w:eastAsia="仿宋_GB2312"/>
              </w:rPr>
              <w:t>供应商所投主要设备材料的质量及技术参数满足磋商文件及采购人使用要求，工艺技术先进科学。根据所投主材配置情况及提供的技术支撑文件（包括检测报告或官网功能截图或产品彩页或加盖厂商公章的技术参数说明等）进行评审。 主要设备材料质量可靠、稳定性高、具备较好的使用效果，应用的技术、工艺、材料先进科学，完全满足施工要求，技术支撑文件提供齐全得4-6分；主要设备材料基本齐备，能够基本满足施工要求，技术支撑文件提供有缺漏得1-4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提供2022年6月1日起至今同类工程业绩，每个有效业绩得2分，满分10分。（时间以合同签订日期为准，提供合同复印件加盖公章）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详见附件：施工组织设计1.docx</w:t>
      </w:r>
    </w:p>
    <w:p>
      <w:pPr>
        <w:pStyle w:val="null3"/>
        <w:ind w:firstLine="960"/>
      </w:pPr>
      <w:r>
        <w:rPr>
          <w:rFonts w:ascii="仿宋_GB2312" w:hAnsi="仿宋_GB2312" w:cs="仿宋_GB2312" w:eastAsia="仿宋_GB2312"/>
        </w:rPr>
        <w:t>详见附件：施工组织设计2.docx</w:t>
      </w:r>
    </w:p>
    <w:p>
      <w:pPr>
        <w:pStyle w:val="null3"/>
        <w:ind w:firstLine="960"/>
      </w:pPr>
      <w:r>
        <w:rPr>
          <w:rFonts w:ascii="仿宋_GB2312" w:hAnsi="仿宋_GB2312" w:cs="仿宋_GB2312" w:eastAsia="仿宋_GB2312"/>
        </w:rPr>
        <w:t>详见附件：施工组织设计3.docx</w:t>
      </w:r>
    </w:p>
    <w:p>
      <w:pPr>
        <w:pStyle w:val="null3"/>
        <w:ind w:firstLine="960"/>
      </w:pPr>
      <w:r>
        <w:rPr>
          <w:rFonts w:ascii="仿宋_GB2312" w:hAnsi="仿宋_GB2312" w:cs="仿宋_GB2312" w:eastAsia="仿宋_GB2312"/>
        </w:rPr>
        <w:t>详见附件：施工组织设计4.docx</w:t>
      </w:r>
    </w:p>
    <w:p>
      <w:pPr>
        <w:pStyle w:val="null3"/>
        <w:ind w:firstLine="960"/>
      </w:pPr>
      <w:r>
        <w:rPr>
          <w:rFonts w:ascii="仿宋_GB2312" w:hAnsi="仿宋_GB2312" w:cs="仿宋_GB2312" w:eastAsia="仿宋_GB2312"/>
        </w:rPr>
        <w:t>详见附件：施工组织设计5.docx</w:t>
      </w:r>
    </w:p>
    <w:p>
      <w:pPr>
        <w:pStyle w:val="null3"/>
        <w:ind w:firstLine="960"/>
      </w:pPr>
      <w:r>
        <w:rPr>
          <w:rFonts w:ascii="仿宋_GB2312" w:hAnsi="仿宋_GB2312" w:cs="仿宋_GB2312" w:eastAsia="仿宋_GB2312"/>
        </w:rPr>
        <w:t>详见附件：施工组织设计6.docx</w:t>
      </w:r>
    </w:p>
    <w:p>
      <w:pPr>
        <w:pStyle w:val="null3"/>
        <w:ind w:firstLine="960"/>
      </w:pPr>
      <w:r>
        <w:rPr>
          <w:rFonts w:ascii="仿宋_GB2312" w:hAnsi="仿宋_GB2312" w:cs="仿宋_GB2312" w:eastAsia="仿宋_GB2312"/>
        </w:rPr>
        <w:t>详见附件：施工组织设计7.docx</w:t>
      </w:r>
    </w:p>
    <w:p>
      <w:pPr>
        <w:pStyle w:val="null3"/>
        <w:ind w:firstLine="960"/>
      </w:pPr>
      <w:r>
        <w:rPr>
          <w:rFonts w:ascii="仿宋_GB2312" w:hAnsi="仿宋_GB2312" w:cs="仿宋_GB2312" w:eastAsia="仿宋_GB2312"/>
        </w:rPr>
        <w:t>详见附件：施工组织设计8.docx</w:t>
      </w:r>
    </w:p>
    <w:p>
      <w:pPr>
        <w:pStyle w:val="null3"/>
        <w:ind w:firstLine="960"/>
      </w:pPr>
      <w:r>
        <w:rPr>
          <w:rFonts w:ascii="仿宋_GB2312" w:hAnsi="仿宋_GB2312" w:cs="仿宋_GB2312" w:eastAsia="仿宋_GB2312"/>
        </w:rPr>
        <w:t>详见附件：施工组织设计9.docx</w:t>
      </w:r>
    </w:p>
    <w:p>
      <w:pPr>
        <w:pStyle w:val="null3"/>
        <w:ind w:firstLine="960"/>
      </w:pPr>
      <w:r>
        <w:rPr>
          <w:rFonts w:ascii="仿宋_GB2312" w:hAnsi="仿宋_GB2312" w:cs="仿宋_GB2312" w:eastAsia="仿宋_GB2312"/>
        </w:rPr>
        <w:t>详见附件：施工组织设计10.docx</w:t>
      </w:r>
    </w:p>
    <w:p>
      <w:pPr>
        <w:pStyle w:val="null3"/>
        <w:ind w:firstLine="960"/>
      </w:pPr>
      <w:r>
        <w:rPr>
          <w:rFonts w:ascii="仿宋_GB2312" w:hAnsi="仿宋_GB2312" w:cs="仿宋_GB2312" w:eastAsia="仿宋_GB2312"/>
        </w:rPr>
        <w:t>详见附件：施工组织设计11.docx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