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版本号：GZH-ZB-20250601620250613001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渭南监狱罪犯院落改造工程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GZH-ZB-202506016</w:t>
      </w:r>
      <w:r>
        <w:br/>
      </w:r>
      <w:r>
        <w:br/>
      </w:r>
      <w:r>
        <w:br/>
      </w:r>
    </w:p>
    <w:p>
      <w:pPr>
        <w:pStyle w:val="null3"/>
        <w:jc w:val="center"/>
        <w:outlineLvl w:val="2"/>
      </w:pPr>
      <w:r>
        <w:rPr>
          <w:rFonts w:ascii="仿宋_GB2312" w:hAnsi="仿宋_GB2312" w:cs="仿宋_GB2312" w:eastAsia="仿宋_GB2312"/>
          <w:sz w:val="28"/>
          <w:b/>
        </w:rPr>
        <w:t>陕西省渭南监狱</w:t>
      </w:r>
    </w:p>
    <w:p>
      <w:pPr>
        <w:pStyle w:val="null3"/>
        <w:jc w:val="center"/>
        <w:outlineLvl w:val="2"/>
      </w:pPr>
      <w:r>
        <w:rPr>
          <w:rFonts w:ascii="仿宋_GB2312" w:hAnsi="仿宋_GB2312" w:cs="仿宋_GB2312" w:eastAsia="仿宋_GB2312"/>
          <w:sz w:val="28"/>
          <w:b/>
        </w:rPr>
        <w:t>陕西国中恒工程项目管理有限公司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陕西国中恒工程项目管理有限公司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陕西省渭南监狱</w:t>
      </w:r>
      <w:r>
        <w:rPr>
          <w:rFonts w:ascii="仿宋_GB2312" w:hAnsi="仿宋_GB2312" w:cs="仿宋_GB2312" w:eastAsia="仿宋_GB2312"/>
        </w:rPr>
        <w:t>委托，拟对</w:t>
      </w:r>
      <w:r>
        <w:rPr>
          <w:rFonts w:ascii="仿宋_GB2312" w:hAnsi="仿宋_GB2312" w:cs="仿宋_GB2312" w:eastAsia="仿宋_GB2312"/>
        </w:rPr>
        <w:t>渭南监狱罪犯院落改造工程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GZH-ZB-202506016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渭南监狱罪犯院落改造工程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该项目主要对陕西省渭南监狱罪犯院落进行改造。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采购包1（陕西省渭南监狱罪犯院落改造工程）：属于专门面向中小企业采购。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1、拟派项目负责人资质和专业要求：具有建筑工程专业国家注册建造师二级以上（含）资格，并具有省级及以上建设行政主管部门颁发的有效的安全生产考核证书，未担任其他在建工程的项目经理。</w:t>
      </w:r>
    </w:p>
    <w:p>
      <w:pPr>
        <w:pStyle w:val="null3"/>
      </w:pPr>
      <w:r>
        <w:rPr>
          <w:rFonts w:ascii="仿宋_GB2312" w:hAnsi="仿宋_GB2312" w:cs="仿宋_GB2312" w:eastAsia="仿宋_GB2312"/>
        </w:rPr>
        <w:t>2、企业资质：供应商具备建筑工程施工总承包资质三级及以上资质，且具有有效的安全生产许可证。</w:t>
      </w:r>
    </w:p>
    <w:p>
      <w:pPr>
        <w:pStyle w:val="null3"/>
      </w:pPr>
      <w:r>
        <w:rPr>
          <w:rFonts w:ascii="仿宋_GB2312" w:hAnsi="仿宋_GB2312" w:cs="仿宋_GB2312" w:eastAsia="仿宋_GB2312"/>
        </w:rPr>
        <w:t>3、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4、财务状况报告：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以上三种形式的资料提供任何一种即可）。</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7、书面声明：提供具有履行本合同所必需的设备和专业技术能力的书面声明。</w:t>
      </w:r>
    </w:p>
    <w:p>
      <w:pPr>
        <w:pStyle w:val="null3"/>
      </w:pPr>
      <w:r>
        <w:rPr>
          <w:rFonts w:ascii="仿宋_GB2312" w:hAnsi="仿宋_GB2312" w:cs="仿宋_GB2312" w:eastAsia="仿宋_GB2312"/>
        </w:rPr>
        <w:t>8、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9、法定代表人（主要负责人）身份证明/授权委托书：法定代表人（主要负责人）参加投标的，须提供法定代表人（主要负责人）身份证明：法定代表人（主要负责人）授权他人参加投标的，须提供法定代表人（主要负责人）授权委托书。谈判文件中凡是需要法定代表人盖章之处，非法人单位的负责人均参照执行。法人的分支机构参与投标时，除提供《法定代表人（主要负责人）授权委托书》外，还须同时提供法人给分支机构出具的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陕西省渭南监狱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陕西省渭南市临渭区乐天大街118号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陕西省渭南监狱经办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0913-2065375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陕西国中恒工程项目管理有限公司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西安市北大街118号宏府大厦A座12F室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029-87361685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墙面涂料、水泥、商品砼</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开户名称：陕西国中恒工程项目管理有限公司</w:t>
            </w:r>
          </w:p>
          <w:p>
            <w:pPr>
              <w:pStyle w:val="null3"/>
            </w:pPr>
            <w:r>
              <w:rPr>
                <w:rFonts w:ascii="仿宋_GB2312" w:hAnsi="仿宋_GB2312" w:cs="仿宋_GB2312" w:eastAsia="仿宋_GB2312"/>
              </w:rPr>
              <w:t>开户银行：中国建设银行股份有限公司西安莲湖路支行</w:t>
            </w:r>
          </w:p>
          <w:p>
            <w:pPr>
              <w:pStyle w:val="null3"/>
            </w:pPr>
            <w:r>
              <w:rPr>
                <w:rFonts w:ascii="仿宋_GB2312" w:hAnsi="仿宋_GB2312" w:cs="仿宋_GB2312" w:eastAsia="仿宋_GB2312"/>
              </w:rPr>
              <w:t>银行账号：61050171110000001138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本次代理服务包括采购代理服务及工程量清单编制两个部分，其收费方式及标准如下：1.购代理服务费根据《国家发展改革委关于降低部分建设项目收费标准规范收费行为等有关问题的通知》(发改价格[2011]534号)标准70%计取。2.工程量清单编制费根据陕西省物价局、陕西省住房和城乡建设厅关于我省工程造价咨询服务收费标准有关问题的通知（陕价行发〔2014〕88号）标准75%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陕西省渭南监狱</w:t>
      </w:r>
      <w:r>
        <w:rPr>
          <w:rFonts w:ascii="仿宋_GB2312" w:hAnsi="仿宋_GB2312" w:cs="仿宋_GB2312" w:eastAsia="仿宋_GB2312"/>
        </w:rPr>
        <w:t>和</w:t>
      </w:r>
      <w:r>
        <w:rPr>
          <w:rFonts w:ascii="仿宋_GB2312" w:hAnsi="仿宋_GB2312" w:cs="仿宋_GB2312" w:eastAsia="仿宋_GB2312"/>
        </w:rPr>
        <w:t>陕西国中恒工程项目管理有限公司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陕西省渭南监狱</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陕西国中恒工程项目管理有限公司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陕西省渭南监狱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陕西国中恒工程项目管理有限公司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一、本工程履约验收以施工合同、竣工图纸、设计变更、现场签证、洽商文件及中标承诺、采购文件、经修订的工程量清单、中标供应商响应文件以及合同签订时国家及行业现行的标准和技术规范为依据。</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联系人：成璇</w:t>
      </w:r>
    </w:p>
    <w:p>
      <w:pPr>
        <w:pStyle w:val="null3"/>
      </w:pPr>
      <w:r>
        <w:rPr>
          <w:rFonts w:ascii="仿宋_GB2312" w:hAnsi="仿宋_GB2312" w:cs="仿宋_GB2312" w:eastAsia="仿宋_GB2312"/>
        </w:rPr>
        <w:t>联系电话：029-87361685</w:t>
      </w:r>
    </w:p>
    <w:p>
      <w:pPr>
        <w:pStyle w:val="null3"/>
      </w:pPr>
      <w:r>
        <w:rPr>
          <w:rFonts w:ascii="仿宋_GB2312" w:hAnsi="仿宋_GB2312" w:cs="仿宋_GB2312" w:eastAsia="仿宋_GB2312"/>
        </w:rPr>
        <w:t>地址：西安市北大街118号宏府大厦A座12F室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860,000.00</w:t>
      </w:r>
    </w:p>
    <w:p>
      <w:pPr>
        <w:pStyle w:val="null3"/>
      </w:pPr>
      <w:r>
        <w:rPr>
          <w:rFonts w:ascii="仿宋_GB2312" w:hAnsi="仿宋_GB2312" w:cs="仿宋_GB2312" w:eastAsia="仿宋_GB2312"/>
        </w:rPr>
        <w:t>采购包最高限价（元）: 860,000.00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罪犯院落改造工程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860,000.00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标的名称：罪犯院落改造工程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一、工程概况：该项目主要对陕西省渭南监狱罪犯院落进行改造。具体建设内容详见工程量清单。</w:t>
            </w:r>
          </w:p>
          <w:p>
            <w:pPr>
              <w:pStyle w:val="null3"/>
            </w:pPr>
            <w:r>
              <w:rPr>
                <w:rFonts w:ascii="仿宋_GB2312" w:hAnsi="仿宋_GB2312" w:cs="仿宋_GB2312" w:eastAsia="仿宋_GB2312"/>
              </w:rPr>
              <w:t>二、工程量清单：见附件。清单计价软件采用广联达云计价GCCP6.0，版本号：6.4100.23.122。</w:t>
            </w:r>
          </w:p>
          <w:p>
            <w:pPr>
              <w:pStyle w:val="null3"/>
            </w:pPr>
            <w:r>
              <w:rPr>
                <w:rFonts w:ascii="仿宋_GB2312" w:hAnsi="仿宋_GB2312" w:cs="仿宋_GB2312" w:eastAsia="仿宋_GB2312"/>
              </w:rPr>
              <w:t>三、关于核心产品：不适用。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《中华人民共和国建筑法》、《建设工程质量管理条例》、《建筑工程施工验收规范质量验收统一标准》和《房屋建筑工程质量保修办法》(建设部令第80号)以及相关规定。</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严格按照国家颁发的施工技术验收规范进行施工，质量应达到国家质量检验评定的合格标准。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计划工期：90日历天。（2）合同履约地点：陕西省渭南监狱。（3）缺陷责任期：自工程验收之日起1年，自竣工验收合格之日起计。（4）质量保修期：执行《房屋建筑工程质量保修办法》(建设部令第80号)及本项目承发包合同，工程的质量保修期：(一)地基基础工程和主体结构工程，为设计文件规定的该工程的合理使用年限；(二)屋面防水工程、有防水要求的卫生间、房间和外墙面的防渗漏，为5年；(三)供热与供冷系统，为2个采暖期、供冷期；(四)电气管线、给排水管道、设备安装为2年；(五)装修工程为2年。(六）其他工程的保修期限由发承包双方另行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具有建筑工程专业国家注册建造师二级以上（含）资格，并具有省级及以上建设行政主管部门颁发的有效的安全生产考核证书，未担任其他在建工程的项目经理。</w:t>
            </w:r>
          </w:p>
        </w:tc>
        <w:tc>
          <w:tcPr>
            <w:tcW w:type="dxa" w:w="1661"/>
          </w:tcPr>
          <w:p>
            <w:pPr>
              <w:pStyle w:val="null3"/>
            </w:pPr>
            <w:r>
              <w:rPr>
                <w:rFonts w:ascii="仿宋_GB2312" w:hAnsi="仿宋_GB2312" w:cs="仿宋_GB2312" w:eastAsia="仿宋_GB2312"/>
              </w:rPr>
              <w:t>项目管理机构组成表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供应商具备建筑工程施工总承包资质三级及以上资质，且具有有效的安全生产许可证。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谈判文件中凡是需要法定代表人盖章之处，非法人单位的负责人均参照执行。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响应文件的签章均符合磋商文件要求，且无遗漏。</w:t>
            </w:r>
          </w:p>
        </w:tc>
        <w:tc>
          <w:tcPr>
            <w:tcW w:type="dxa" w:w="1661"/>
          </w:tcPr>
          <w:p>
            <w:pPr>
              <w:pStyle w:val="null3"/>
            </w:pPr>
            <w:r>
              <w:rPr>
                <w:rFonts w:ascii="仿宋_GB2312" w:hAnsi="仿宋_GB2312" w:cs="仿宋_GB2312" w:eastAsia="仿宋_GB2312"/>
              </w:rPr>
              <w:t>响应文件封面 已标价工程量清单 报价函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符合磋商文件的要求，且不少于90天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同时满足以下条款：（1）货币单位符合磋商文件要求；（2）报价符合唯一性要求；（3）未超出采购预算或最高限价；（4）符合《报价函》、《已标价工程量清单》及《标的清单》的填报要求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强制优先采购产品承诺函</w:t>
            </w:r>
          </w:p>
        </w:tc>
        <w:tc>
          <w:tcPr>
            <w:tcW w:type="dxa" w:w="3322"/>
          </w:tcPr>
          <w:p>
            <w:pPr>
              <w:pStyle w:val="null3"/>
            </w:pPr>
            <w:r>
              <w:rPr>
                <w:rFonts w:ascii="仿宋_GB2312" w:hAnsi="仿宋_GB2312" w:cs="仿宋_GB2312" w:eastAsia="仿宋_GB2312"/>
              </w:rPr>
              <w:t>提供《强制优先采购产品承诺函》，且符合磋商文件要求。</w:t>
            </w:r>
          </w:p>
        </w:tc>
        <w:tc>
          <w:tcPr>
            <w:tcW w:type="dxa" w:w="1661"/>
          </w:tcPr>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以及《合同文本》条款的要求，且未有采购人不能接受的附加条件的。结合磋商文件第3章“磋商项目技术、服务、商务要求”及第8章“拟签订合同文本”的实质性要求且没有负偏离。</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提供2022年1月1日以来同类工程施工项目的业绩证明文件（同类工程指建筑工程施工，证明文件指施工合同协议书），每出具一份业绩证明文件得2分。满分10分。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根据供应商提供的项目部人员组成组成赋分，完全满足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施工部署或总平面布置</w:t>
            </w:r>
          </w:p>
        </w:tc>
        <w:tc>
          <w:tcPr>
            <w:tcW w:type="dxa" w:w="2492"/>
          </w:tcPr>
          <w:p>
            <w:pPr>
              <w:pStyle w:val="null3"/>
            </w:pPr>
            <w:r>
              <w:rPr>
                <w:rFonts w:ascii="仿宋_GB2312" w:hAnsi="仿宋_GB2312" w:cs="仿宋_GB2312" w:eastAsia="仿宋_GB2312"/>
              </w:rPr>
              <w:t>根据供应商提供的施工部署或总平面布置赋分，完全满足本项目实际需求得4分，基本满足本项目需求得3分，基本满足但完整性和可操作性欠缺得2分，不满足本项目需求根据情况得1分。未提供不得分。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根据供应商提供的劳动力安排计划安排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总说明及本工程施工遵循的施工规范和标准</w:t>
            </w:r>
          </w:p>
        </w:tc>
        <w:tc>
          <w:tcPr>
            <w:tcW w:type="dxa" w:w="2492"/>
          </w:tcPr>
          <w:p>
            <w:pPr>
              <w:pStyle w:val="null3"/>
            </w:pPr>
            <w:r>
              <w:rPr>
                <w:rFonts w:ascii="仿宋_GB2312" w:hAnsi="仿宋_GB2312" w:cs="仿宋_GB2312" w:eastAsia="仿宋_GB2312"/>
              </w:rPr>
              <w:t>根据供应商提供的总说明及本工程施工应遵循的施工规范和标准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供应商针对本项目提出的施工方案赋分，完全满足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安全生产、文明施工措施</w:t>
            </w:r>
          </w:p>
        </w:tc>
        <w:tc>
          <w:tcPr>
            <w:tcW w:type="dxa" w:w="2492"/>
          </w:tcPr>
          <w:p>
            <w:pPr>
              <w:pStyle w:val="null3"/>
            </w:pPr>
            <w:r>
              <w:rPr>
                <w:rFonts w:ascii="仿宋_GB2312" w:hAnsi="仿宋_GB2312" w:cs="仿宋_GB2312" w:eastAsia="仿宋_GB2312"/>
              </w:rPr>
              <w:t>根据供应商提供的安全生产及文明施工措施赋分，完全满足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主要施工设备计划及主要材料供应计划</w:t>
            </w:r>
          </w:p>
        </w:tc>
        <w:tc>
          <w:tcPr>
            <w:tcW w:type="dxa" w:w="2492"/>
          </w:tcPr>
          <w:p>
            <w:pPr>
              <w:pStyle w:val="null3"/>
            </w:pPr>
            <w:r>
              <w:rPr>
                <w:rFonts w:ascii="仿宋_GB2312" w:hAnsi="仿宋_GB2312" w:cs="仿宋_GB2312" w:eastAsia="仿宋_GB2312"/>
              </w:rPr>
              <w:t>根据供应商提供的主要施工设备计划及主要材料供应计划赋分，完全满足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根据供应商提供的施工进度计划及措施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根据供应商提供的质量保证体系及措施赋分，完全满足项目实际需求得5分，基本满足项目需求得4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成品保护措施</w:t>
            </w:r>
          </w:p>
        </w:tc>
        <w:tc>
          <w:tcPr>
            <w:tcW w:type="dxa" w:w="2492"/>
          </w:tcPr>
          <w:p>
            <w:pPr>
              <w:pStyle w:val="null3"/>
            </w:pPr>
            <w:r>
              <w:rPr>
                <w:rFonts w:ascii="仿宋_GB2312" w:hAnsi="仿宋_GB2312" w:cs="仿宋_GB2312" w:eastAsia="仿宋_GB2312"/>
              </w:rPr>
              <w:t>根据供应商提供的成品保护措施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质保服务</w:t>
            </w:r>
          </w:p>
        </w:tc>
        <w:tc>
          <w:tcPr>
            <w:tcW w:type="dxa" w:w="2492"/>
          </w:tcPr>
          <w:p>
            <w:pPr>
              <w:pStyle w:val="null3"/>
            </w:pPr>
            <w:r>
              <w:rPr>
                <w:rFonts w:ascii="仿宋_GB2312" w:hAnsi="仿宋_GB2312" w:cs="仿宋_GB2312" w:eastAsia="仿宋_GB2312"/>
              </w:rPr>
              <w:t>响应文件包含对本项目质量保障，后期维护管理及发生质量问题后的补救措施，有明确具体的承诺，切实可行。根据响应情况赋分，完全满足项目实际需求得5分，基本满足项目需求得4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单位的价格为磋商基准价，其价格分为满分。其他响应单位的价格分统一按照下列公式计算：磋商报价得分=（磋商基准价/最后磋商报价）×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详见附件：质保服务.docx</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