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版本号：ZRZB-2025-051520250616001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专用设备购置项目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ZRZB-2025-0515</w:t>
      </w:r>
      <w:r>
        <w:br/>
      </w:r>
      <w:r>
        <w:br/>
      </w:r>
      <w:r>
        <w:br/>
      </w:r>
    </w:p>
    <w:p>
      <w:pPr>
        <w:pStyle w:val="null3"/>
        <w:jc w:val="center"/>
        <w:outlineLvl w:val="2"/>
      </w:pPr>
      <w:r>
        <w:rPr>
          <w:rFonts w:ascii="仿宋_GB2312" w:hAnsi="仿宋_GB2312" w:cs="仿宋_GB2312" w:eastAsia="仿宋_GB2312"/>
          <w:sz w:val="28"/>
          <w:b/>
        </w:rPr>
        <w:t>陕西省高速公路路政执法总队</w:t>
      </w:r>
    </w:p>
    <w:p>
      <w:pPr>
        <w:pStyle w:val="null3"/>
        <w:jc w:val="center"/>
        <w:outlineLvl w:val="2"/>
      </w:pPr>
      <w:r>
        <w:rPr>
          <w:rFonts w:ascii="仿宋_GB2312" w:hAnsi="仿宋_GB2312" w:cs="仿宋_GB2312" w:eastAsia="仿宋_GB2312"/>
          <w:sz w:val="28"/>
          <w:b/>
        </w:rPr>
        <w:t>中泓泽润工程管理咨询有限公司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中泓泽润工程管理咨询有限公司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陕西省高速公路路政执法总队</w:t>
      </w:r>
      <w:r>
        <w:rPr>
          <w:rFonts w:ascii="仿宋_GB2312" w:hAnsi="仿宋_GB2312" w:cs="仿宋_GB2312" w:eastAsia="仿宋_GB2312"/>
        </w:rPr>
        <w:t>委托，拟对</w:t>
      </w:r>
      <w:r>
        <w:rPr>
          <w:rFonts w:ascii="仿宋_GB2312" w:hAnsi="仿宋_GB2312" w:cs="仿宋_GB2312" w:eastAsia="仿宋_GB2312"/>
        </w:rPr>
        <w:t>专用设备购置项目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ZRZB-2025-0515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专用设备购置项目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陕西省高速公路路政执法总队专用设备购置项目，采购内容：手套（副）、肩章警示灯、救生衣、反光背心、高可视性警示服、（雨衣）、检查服（防晒服）、雨靴、警戒带、急救箱、灭火器、手持喊话筒、车载卫星定位终端、折叠锥形桶、防尘防毒面具、钢盔、安全鞋、声光路锥、发光指挥棒、强光手电、激光测距仪、执法装备器材柜等设备，满足陕西省高速公路路政执法总队执法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采购包1（专用设备购置项目）：属于专门面向中小企业采购。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身份证明：：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p>
      <w:pPr>
        <w:pStyle w:val="null3"/>
      </w:pPr>
      <w:r>
        <w:rPr>
          <w:rFonts w:ascii="仿宋_GB2312" w:hAnsi="仿宋_GB2312" w:cs="仿宋_GB2312" w:eastAsia="仿宋_GB2312"/>
        </w:rPr>
        <w:t>2、法定代表人身份证明或法定代表人身份证明：：法定代表人直接参加谈判的，需提供法定代表人身份证明（含法人身份证复印件），法定代表人委托代理人参加谈判的，需提供法定代表人授权委托书（含法定代表人及代理人身份证复印件）；供应商需在项目电子化交易系统中按要求上传相应证明文件并进行电子签章。</w:t>
      </w:r>
    </w:p>
    <w:p>
      <w:pPr>
        <w:pStyle w:val="null3"/>
      </w:pPr>
      <w:r>
        <w:rPr>
          <w:rFonts w:ascii="仿宋_GB2312" w:hAnsi="仿宋_GB2312" w:cs="仿宋_GB2312" w:eastAsia="仿宋_GB2312"/>
        </w:rPr>
        <w:t>3、财务状况：：具有良好的商业信誉和健全的财务会计制度，提供2023年经审计的财务报告（成立时间至开标时间不足一年的可提供成立后任意时段的资产负债表）或谈判前六个月内其基本账户银行出具的资信证明（附开户许可证或基本账户证明）或信用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税收缴纳证明：：具有依法缴纳税收的良好记录，提供谈判截止时间前6个月内任意一个月的纳税证明或完税证明，（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5、社会保障资金缴纳证明：：具有依法缴纳社会保障资金的良好记录，提供谈判截止时间前6个月内任意一个月的社保缴费凭据或社保机构开具的社会保险参保缴费情况证明（依法不需要缴纳社会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p>
      <w:pPr>
        <w:pStyle w:val="null3"/>
      </w:pPr>
      <w:r>
        <w:rPr>
          <w:rFonts w:ascii="仿宋_GB2312" w:hAnsi="仿宋_GB2312" w:cs="仿宋_GB2312" w:eastAsia="仿宋_GB2312"/>
        </w:rPr>
        <w:t>6、具有履行本合同所必需的设备和专业技术能力的书面声明：：提供具有履行本合同所必需的设备和专业技术能力的书面声明；供应商需在项目电子化交易系统中按要求上传相应证明文件并进行电子签章。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8、信誉截图：：供应商不得为“信用中国”网站（www.creditchina.gov.cn）中列入失信被执行人和重大税收违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9、本项目不允许联合体谈判。：供应商需在项目电子化交易系统中按要求上传相应证明文件并进行电子签章。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陕西省高速公路路政执法总队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西安市友谊西路352号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陕西省高速公路路政执法总队经办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029-88489130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中泓泽润工程管理咨询有限公司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西安市莲湖区太和时代广场A座2001室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潘丹、张晗阳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13474106453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采购包1：569,990.00元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无产品</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代理服务费收费标准：成交供应商在领取《成交通知书》之前，可以采取现金、公户转账等方式向采购代理机构一次性缴纳代理服务费。 代理服务费参照原国家计委关于印发《招标代理服务收费管理暂行办法的通知》（计价格【2002】1980号）和国家发改委办公厅颁发的《关于招标代理服务收费有关问题的通知》（发改办价格【2003】857号）文件规定标准标准费率的90%收取。 代理服务费银行及账号： 账户名称：中泓泽润工程管理咨询有限公司 开户银行：交通银行股份有限公司西安航天城神舟四路支行 账 号：611301038018000928764 备注：供应商在汇款时须注明项目编号+项目简称+代理服务费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陕西省高速公路路政执法总队</w:t>
      </w:r>
      <w:r>
        <w:rPr>
          <w:rFonts w:ascii="仿宋_GB2312" w:hAnsi="仿宋_GB2312" w:cs="仿宋_GB2312" w:eastAsia="仿宋_GB2312"/>
        </w:rPr>
        <w:t>和</w:t>
      </w:r>
      <w:r>
        <w:rPr>
          <w:rFonts w:ascii="仿宋_GB2312" w:hAnsi="仿宋_GB2312" w:cs="仿宋_GB2312" w:eastAsia="仿宋_GB2312"/>
        </w:rPr>
        <w:t>中泓泽润工程管理咨询有限公司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陕西省高速公路路政执法总队</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中泓泽润工程管理咨询有限公司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陕西省高速公路路政执法总队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中泓泽润工程管理咨询有限公司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产品经采购人根据合同要求，进行验收，确认规格、质量和数量。当满足以下条件时，采购人才向成交供应商签发货物验收报告： （一）满足谈判文件、响应文件、数量、技术规格、性能要求； （二）货物符合国家相应的标准、规范； （三）货物具备产品合格证。</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中泓泽润工程管理咨询有限公司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中泓泽润工程管理咨询有限公司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中泓泽润工程管理咨询有限公司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联系人：潘丹、张晗阳</w:t>
      </w:r>
    </w:p>
    <w:p>
      <w:pPr>
        <w:pStyle w:val="null3"/>
      </w:pPr>
      <w:r>
        <w:rPr>
          <w:rFonts w:ascii="仿宋_GB2312" w:hAnsi="仿宋_GB2312" w:cs="仿宋_GB2312" w:eastAsia="仿宋_GB2312"/>
        </w:rPr>
        <w:t>联系电话：13474106453</w:t>
      </w:r>
    </w:p>
    <w:p>
      <w:pPr>
        <w:pStyle w:val="null3"/>
      </w:pPr>
      <w:r>
        <w:rPr>
          <w:rFonts w:ascii="仿宋_GB2312" w:hAnsi="仿宋_GB2312" w:cs="仿宋_GB2312" w:eastAsia="仿宋_GB2312"/>
        </w:rPr>
        <w:t>地址：西安市莲湖区太和时代广场A座2001室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陕西省高速公路路政执法总队专用设备购置项目，采购内容：手套（副）、肩章警示灯、救生衣、反光背心、高可视性警示服、（雨衣）、检查服（防晒服）、雨靴、警戒带、急救箱、灭火器、手持喊话筒、车载卫星定位终端、折叠锥形桶、防尘防毒面具、钢盔、安全鞋、声光路锥、发光指挥棒、强光手电、激光测距仪、执法装备器材柜等设备，满足陕西省高速公路路政执法总队执法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569,990.00</w:t>
      </w:r>
    </w:p>
    <w:p>
      <w:pPr>
        <w:pStyle w:val="null3"/>
      </w:pPr>
      <w:r>
        <w:rPr>
          <w:rFonts w:ascii="仿宋_GB2312" w:hAnsi="仿宋_GB2312" w:cs="仿宋_GB2312" w:eastAsia="仿宋_GB2312"/>
        </w:rPr>
        <w:t>采购包最高限价（元）: 569,990.00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高可视性警示服（雨衣）、发光指挥棒、肩章警示灯、手持喊话筒等一批</w:t>
            </w:r>
          </w:p>
        </w:tc>
        <w:tc>
          <w:tcPr>
            <w:tcW w:type="dxa" w:w="831"/>
          </w:tcPr>
          <w:p>
            <w:pPr>
              <w:pStyle w:val="null3"/>
              <w:jc w:val="right"/>
            </w:pPr>
            <w:r>
              <w:rPr>
                <w:rFonts w:ascii="仿宋_GB2312" w:hAnsi="仿宋_GB2312" w:cs="仿宋_GB2312" w:eastAsia="仿宋_GB2312"/>
              </w:rPr>
              <w:t>4,812.00</w:t>
            </w:r>
          </w:p>
        </w:tc>
        <w:tc>
          <w:tcPr>
            <w:tcW w:type="dxa" w:w="831"/>
          </w:tcPr>
          <w:p>
            <w:pPr>
              <w:pStyle w:val="null3"/>
              <w:jc w:val="right"/>
            </w:pPr>
            <w:r>
              <w:rPr>
                <w:rFonts w:ascii="仿宋_GB2312" w:hAnsi="仿宋_GB2312" w:cs="仿宋_GB2312" w:eastAsia="仿宋_GB2312"/>
              </w:rPr>
              <w:t>569,990.00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标的名称：高可视性警示服（雨衣）、发光指挥棒、肩章警示灯、手持喊话筒等一批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2"/>
              <w:gridCol w:w="331"/>
              <w:gridCol w:w="214"/>
              <w:gridCol w:w="398"/>
              <w:gridCol w:w="1155"/>
              <w:gridCol w:w="291"/>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3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内容</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3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单位</w:t>
                  </w:r>
                </w:p>
              </w:tc>
              <w:tc>
                <w:tcPr>
                  <w:tcW w:type="dxa" w:w="1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技术要求</w:t>
                  </w:r>
                </w:p>
              </w:tc>
              <w:tc>
                <w:tcPr>
                  <w:tcW w:type="dxa" w:w="2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备注</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手套（副）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副</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手套应符合</w:t>
                  </w:r>
                  <w:r>
                    <w:rPr>
                      <w:rFonts w:ascii="仿宋_GB2312" w:hAnsi="仿宋_GB2312" w:cs="仿宋_GB2312" w:eastAsia="仿宋_GB2312"/>
                      <w:sz w:val="20"/>
                      <w:color w:val="000000"/>
                    </w:rPr>
                    <w:t>GB/T 22845及GA 614规定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肩章警示灯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167</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辨识距离不少于</w:t>
                  </w:r>
                  <w:r>
                    <w:rPr>
                      <w:rFonts w:ascii="仿宋_GB2312" w:hAnsi="仿宋_GB2312" w:cs="仿宋_GB2312" w:eastAsia="仿宋_GB2312"/>
                      <w:sz w:val="20"/>
                      <w:color w:val="000000"/>
                    </w:rPr>
                    <w:t>500m；连续使用时间不少于24h；使用寿命不少于100000h.</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救生衣</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救生衣应符合</w:t>
                  </w:r>
                  <w:r>
                    <w:rPr>
                      <w:rFonts w:ascii="仿宋_GB2312" w:hAnsi="仿宋_GB2312" w:cs="仿宋_GB2312" w:eastAsia="仿宋_GB2312"/>
                      <w:sz w:val="20"/>
                      <w:color w:val="000000"/>
                    </w:rPr>
                    <w:t>GB/T 32227规定，前后身宜定制“交通运输执法”字样，字样符合JT/T 410-2022中第8章的规定。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反光背心</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455</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采用高密度针织面料，包边工艺，立体口袋，反光条不低于国标类反光系数，反光条为高耐候性强，柔软可折叠，反光条为银色柔性反光布。</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高可视性警示服</w:t>
                  </w:r>
                  <w:r>
                    <w:br/>
                  </w:r>
                  <w:r>
                    <w:rPr>
                      <w:rFonts w:ascii="仿宋_GB2312" w:hAnsi="仿宋_GB2312" w:cs="仿宋_GB2312" w:eastAsia="仿宋_GB2312"/>
                      <w:sz w:val="20"/>
                      <w:color w:val="000000"/>
                    </w:rPr>
                    <w:t>（雨衣）</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尺寸符合</w:t>
                  </w:r>
                  <w:r>
                    <w:rPr>
                      <w:rFonts w:ascii="仿宋_GB2312" w:hAnsi="仿宋_GB2312" w:cs="仿宋_GB2312" w:eastAsia="仿宋_GB2312"/>
                      <w:sz w:val="20"/>
                      <w:color w:val="000000"/>
                    </w:rPr>
                    <w:t>GB 20653-2020中4.3的规定；性能要求符合GB 20653-2020中第5章、第6章的规定；根据季节和使用场景可选配符合GB 20653-2020中4.2.1、4.2.2规定的背心款式、夹克款式或大衣款式，夹克款式、大衣款式应具备防雨功能；前后身宜定制“交通运输执法”字样，字样符合jT/T 410-2022中第8章的规定。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检查服（防晒服）</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件</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检查服应符合</w:t>
                  </w:r>
                  <w:r>
                    <w:rPr>
                      <w:rFonts w:ascii="仿宋_GB2312" w:hAnsi="仿宋_GB2312" w:cs="仿宋_GB2312" w:eastAsia="仿宋_GB2312"/>
                      <w:sz w:val="20"/>
                      <w:color w:val="000000"/>
                    </w:rPr>
                    <w:t>GB 12014规定，并具备反光条和防静电功能。</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雨靴</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851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雨靴应符合</w:t>
                  </w:r>
                  <w:r>
                    <w:rPr>
                      <w:rFonts w:ascii="仿宋_GB2312" w:hAnsi="仿宋_GB2312" w:cs="仿宋_GB2312" w:eastAsia="仿宋_GB2312"/>
                      <w:sz w:val="20"/>
                      <w:color w:val="000000"/>
                    </w:rPr>
                    <w:t>HG/T 2019的规定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警戒带</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警戒带应符合</w:t>
                  </w:r>
                  <w:r>
                    <w:rPr>
                      <w:rFonts w:ascii="仿宋_GB2312" w:hAnsi="仿宋_GB2312" w:cs="仿宋_GB2312" w:eastAsia="仿宋_GB2312"/>
                      <w:sz w:val="20"/>
                      <w:color w:val="000000"/>
                    </w:rPr>
                    <w:t>GA/T 375的规定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急救箱</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急救箱应为铝合金或塑料材质，并配置常规急救药品。</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灭火器</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灭火器应符合</w:t>
                  </w:r>
                  <w:r>
                    <w:rPr>
                      <w:rFonts w:ascii="仿宋_GB2312" w:hAnsi="仿宋_GB2312" w:cs="仿宋_GB2312" w:eastAsia="仿宋_GB2312"/>
                      <w:sz w:val="20"/>
                      <w:color w:val="000000"/>
                    </w:rPr>
                    <w:t>GB 4351.1的规定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手持喊话筒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手持喊话筒应符合</w:t>
                  </w:r>
                  <w:r>
                    <w:rPr>
                      <w:rFonts w:ascii="仿宋_GB2312" w:hAnsi="仿宋_GB2312" w:cs="仿宋_GB2312" w:eastAsia="仿宋_GB2312"/>
                      <w:sz w:val="20"/>
                      <w:color w:val="000000"/>
                    </w:rPr>
                    <w:t>SJ/T 10600的规定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车载卫星定位终端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车载卫星定位终端定位精度误差小于</w:t>
                  </w:r>
                  <w:r>
                    <w:rPr>
                      <w:rFonts w:ascii="仿宋_GB2312" w:hAnsi="仿宋_GB2312" w:cs="仿宋_GB2312" w:eastAsia="仿宋_GB2312"/>
                      <w:sz w:val="20"/>
                      <w:color w:val="000000"/>
                    </w:rPr>
                    <w:t>5m，支持北斗卫星定位系统。</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折叠锥形桶</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折叠锥形桶应符合</w:t>
                  </w:r>
                  <w:r>
                    <w:rPr>
                      <w:rFonts w:ascii="仿宋_GB2312" w:hAnsi="仿宋_GB2312" w:cs="仿宋_GB2312" w:eastAsia="仿宋_GB2312"/>
                      <w:sz w:val="20"/>
                      <w:color w:val="000000"/>
                    </w:rPr>
                    <w:t>GB/T 24720规定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4</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防尘防毒面具</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防尘毒面具的过滤元件级别不应低于</w:t>
                  </w:r>
                  <w:r>
                    <w:rPr>
                      <w:rFonts w:ascii="仿宋_GB2312" w:hAnsi="仿宋_GB2312" w:cs="仿宋_GB2312" w:eastAsia="仿宋_GB2312"/>
                      <w:sz w:val="20"/>
                      <w:color w:val="000000"/>
                    </w:rPr>
                    <w:t>GB 2626-2019规定的KN90，防毒性能应符合GB 2890的规定。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5</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钢盔</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安全帽应符合</w:t>
                  </w:r>
                  <w:r>
                    <w:rPr>
                      <w:rFonts w:ascii="仿宋_GB2312" w:hAnsi="仿宋_GB2312" w:cs="仿宋_GB2312" w:eastAsia="仿宋_GB2312"/>
                      <w:sz w:val="20"/>
                      <w:color w:val="000000"/>
                    </w:rPr>
                    <w:t>GB 2811的规定，帽壳贴高可视反光材料。</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6</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安全鞋</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安全鞋应具备防滑、防砸、防静电的功能，并符合</w:t>
                  </w:r>
                  <w:r>
                    <w:rPr>
                      <w:rFonts w:ascii="仿宋_GB2312" w:hAnsi="仿宋_GB2312" w:cs="仿宋_GB2312" w:eastAsia="仿宋_GB2312"/>
                      <w:sz w:val="20"/>
                      <w:color w:val="000000"/>
                    </w:rPr>
                    <w:t>GB 21148-2020中</w:t>
                  </w:r>
                  <w:r>
                    <w:rPr>
                      <w:rFonts w:ascii="仿宋_GB2312" w:hAnsi="仿宋_GB2312" w:cs="仿宋_GB2312" w:eastAsia="仿宋_GB2312"/>
                      <w:sz w:val="20"/>
                      <w:color w:val="000000"/>
                    </w:rPr>
                    <w:t>Ⅰ</w:t>
                  </w:r>
                  <w:r>
                    <w:rPr>
                      <w:rFonts w:ascii="仿宋_GB2312" w:hAnsi="仿宋_GB2312" w:cs="仿宋_GB2312" w:eastAsia="仿宋_GB2312"/>
                      <w:sz w:val="20"/>
                      <w:color w:val="000000"/>
                    </w:rPr>
                    <w:t>类鞋的规定。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7</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声光路锥</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声光路锥高度不低于</w:t>
                  </w:r>
                  <w:r>
                    <w:rPr>
                      <w:rFonts w:ascii="仿宋_GB2312" w:hAnsi="仿宋_GB2312" w:cs="仿宋_GB2312" w:eastAsia="仿宋_GB2312"/>
                      <w:sz w:val="20"/>
                    </w:rPr>
                    <w:t>75cm，蓄电池充电，报警控制方式：按键报警，要求可插入U盘，U盘内可录入18种语音播报内容，客户可自定义内容，全部功能开启后使用时间不小于8小时。</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r>
                    <w:rPr>
                      <w:rFonts w:ascii="仿宋_GB2312" w:hAnsi="仿宋_GB2312" w:cs="仿宋_GB2312" w:eastAsia="仿宋_GB2312"/>
                      <w:sz w:val="20"/>
                      <w:color w:val="000000"/>
                    </w:rPr>
                    <w:t>8</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发光指挥棒</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发光指挥棒应符合</w:t>
                  </w:r>
                  <w:r>
                    <w:rPr>
                      <w:rFonts w:ascii="仿宋_GB2312" w:hAnsi="仿宋_GB2312" w:cs="仿宋_GB2312" w:eastAsia="仿宋_GB2312"/>
                      <w:sz w:val="20"/>
                      <w:color w:val="000000"/>
                    </w:rPr>
                    <w:t>GA/T 1256的规定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强光手电</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强光手电筒应符合</w:t>
                  </w:r>
                  <w:r>
                    <w:rPr>
                      <w:rFonts w:ascii="仿宋_GB2312" w:hAnsi="仿宋_GB2312" w:cs="仿宋_GB2312" w:eastAsia="仿宋_GB2312"/>
                      <w:sz w:val="20"/>
                      <w:color w:val="000000"/>
                    </w:rPr>
                    <w:t>GA 883的规定，在油气、危化环境下使用的应选择本质安全型。</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0</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激光测距仪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手持激光测距仪应符合</w:t>
                  </w:r>
                  <w:r>
                    <w:rPr>
                      <w:rFonts w:ascii="仿宋_GB2312" w:hAnsi="仿宋_GB2312" w:cs="仿宋_GB2312" w:eastAsia="仿宋_GB2312"/>
                      <w:sz w:val="20"/>
                      <w:color w:val="000000"/>
                    </w:rPr>
                    <w:t>GB/T 14267的规定</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r>
                    <w:rPr>
                      <w:rFonts w:ascii="仿宋_GB2312" w:hAnsi="仿宋_GB2312" w:cs="仿宋_GB2312" w:eastAsia="仿宋_GB2312"/>
                      <w:sz w:val="20"/>
                      <w:color w:val="000000"/>
                    </w:rPr>
                    <w:t>1</w:t>
                  </w:r>
                </w:p>
              </w:tc>
              <w:tc>
                <w:tcPr>
                  <w:tcW w:type="dxa" w:w="3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执法装备器材柜</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材质：优质冷轧钢板，钢板厚度大于</w:t>
                  </w:r>
                  <w:r>
                    <w:rPr>
                      <w:rFonts w:ascii="仿宋_GB2312" w:hAnsi="仿宋_GB2312" w:cs="仿宋_GB2312" w:eastAsia="仿宋_GB2312"/>
                      <w:sz w:val="20"/>
                    </w:rPr>
                    <w:t>0.8mm，宽边整装结构。钢化玻璃。拉手：铝合金扣手。</w:t>
                  </w:r>
                </w:p>
              </w:tc>
              <w:tc>
                <w:tcPr>
                  <w:tcW w:type="dxa" w:w="2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合同签订后30个日历日供货</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采购包1：付款条件说明：全部产品配送到位、安装调试、验收合格后，成交供应商在结算前向采购人开具结算价款等额的增值税普通发票，采购人在收到发票的30日内，向成交供应商全额支付合同价款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产品经采购人根据合同要求，进行验收，确认规格、质量和数量。当满足以下条件时，采购人才向成交供应商签发货物验收报告： 1、满足谈判文件、响应文件、数量、技术规格、性能要求； 2、货物符合国家相应的标准、规范； 3、货物具备产品合格证。</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1、运输由成交供应商负责，运杂费已包含在合同总价内。 2、运输方式由成交供应商自行选择，保证采购人收到的是无任何损伤的货物，否则，因此造成的损失由成交供应商自行承担。同时，成交供应商必须保证如期交付，不得断货，否则，因断货造成的损失由成交供应商负责赔偿。 3、成交供应商提供的产品及相关快递服务的包装要求，按照《商品包装政府采购需求标准（试行）》、《快递包装政府采购需求标准（试行）》执行。</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 1年 质量：合格，满足招标人要求。</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2、未按合同要求提供服务或服务质量不能满足合同要求，采购人有权依据《中华人民共和国民法典》有关条款及合同约定终止合同，并要求成交供应商承担违约责任。 3、成交供应商未按合同约定的交货日期交货的，每逾期一日，向采购人支付逾期交付货物价款的1%的违约金。成交供应商支付逾期交货违约金并不免除其交货的责任。 4、如成交供应商在政府采购合同规定的交货日期后3天内仍未能交货，则视为成交供应商不能交货，采购人有权解除政府采购合同，成交供应商除退还已收取的货款外，还应向采购人偿付政府采购合同总金额10%的违约金。 5、成交供应商所交付货物及伴随的工程或服务不符合其投标承诺，存在偷工减料、以次充好情形的，采购人要求更换一次后仍不符合约定的，采购人有权解除政府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供应商失信行为：按照《西安市财政局关于促进政府采购公平竞争优化营商环境的通知》（市财函〔2021)431号）规定：供应商登记免费领取谈判文件的，如不参与项目投标，应在递交响应文件截止时间前一日以书面形式通知告知釆购代理机构。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报价一览表及分项报价表.docx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营业执照或身份证明：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报价一览表及分项报价表.docx 供应商应提交的相关资格证明材料.docx 中小企业声明函 残疾人福利性单位声明函 标的清单 报价表 谈判响应方案说明.docx 响应函 商务及技术偏离表.docx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法定代表人身份证明或法定代表人身份证明：</w:t>
            </w:r>
          </w:p>
        </w:tc>
        <w:tc>
          <w:tcPr>
            <w:tcW w:type="dxa" w:w="3322"/>
          </w:tcPr>
          <w:p>
            <w:pPr>
              <w:pStyle w:val="null3"/>
            </w:pPr>
            <w:r>
              <w:rPr>
                <w:rFonts w:ascii="仿宋_GB2312" w:hAnsi="仿宋_GB2312" w:cs="仿宋_GB2312" w:eastAsia="仿宋_GB2312"/>
              </w:rPr>
              <w:t>法定代表人直接参加谈判的，需提供法定代表人身份证明（含法人身份证复印件），法定代表人委托代理人参加谈判的，需提供法定代表人授权委托书（含法定代表人及代理人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具有良好的商业信誉和健全的财务会计制度，提供2023年经审计的财务报告（成立时间至开标时间不足一年的可提供成立后任意时段的资产负债表）或谈判前六个月内其基本账户银行出具的资信证明（附开户许可证或基本账户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具有依法缴纳税收的良好记录，提供谈判截止时间前6个月内任意一个月的纳税证明或完税证明，（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具有依法缴纳社会保障资金的良好记录，提供谈判截止时间前6个月内任意一个月的社保缴费凭据或社保机构开具的社会保险参保缴费情况证明（依法不需要缴纳社会 保障资金的供应商应提供相关证明）；供应商需在项目电子化交易系统中按要求上传相应证明文件并进行电子签章。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 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本项目不允许联合体谈判。</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报价一览表及分项报价表.docx 供应商应提交的相关资格证明材料.docx 中小企业声明函 残疾人福利性单位声明函 标的清单 报价表 谈判响应方案说明.docx 响应函 商务及技术偏离表.docx 供应商承诺书.docx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谈判响应文件的签署盖章</w:t>
            </w:r>
          </w:p>
        </w:tc>
        <w:tc>
          <w:tcPr>
            <w:tcW w:type="dxa" w:w="3322"/>
          </w:tcPr>
          <w:p>
            <w:pPr>
              <w:pStyle w:val="null3"/>
            </w:pPr>
            <w:r>
              <w:rPr>
                <w:rFonts w:ascii="仿宋_GB2312" w:hAnsi="仿宋_GB2312" w:cs="仿宋_GB2312" w:eastAsia="仿宋_GB2312"/>
              </w:rPr>
              <w:t>响应文件上法定代表人或授权人的签字、盖章齐全</w:t>
            </w:r>
          </w:p>
        </w:tc>
        <w:tc>
          <w:tcPr>
            <w:tcW w:type="dxa" w:w="1661"/>
          </w:tcPr>
          <w:p>
            <w:pPr>
              <w:pStyle w:val="null3"/>
            </w:pPr>
            <w:r>
              <w:rPr>
                <w:rFonts w:ascii="仿宋_GB2312" w:hAnsi="仿宋_GB2312" w:cs="仿宋_GB2312" w:eastAsia="仿宋_GB2312"/>
              </w:rPr>
              <w:t>响应文件封面 报价一览表及分项报价表.docx 供应商应提交的相关资格证明材料.docx 中小企业声明函 残疾人福利性单位声明函 标的清单 谈判响应方案说明.docx 响应函 商务及技术偏离表.docx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谈判响应文件格式</w:t>
            </w:r>
          </w:p>
        </w:tc>
        <w:tc>
          <w:tcPr>
            <w:tcW w:type="dxa" w:w="3322"/>
          </w:tcPr>
          <w:p>
            <w:pPr>
              <w:pStyle w:val="null3"/>
            </w:pPr>
            <w:r>
              <w:rPr>
                <w:rFonts w:ascii="仿宋_GB2312" w:hAnsi="仿宋_GB2312" w:cs="仿宋_GB2312" w:eastAsia="仿宋_GB2312"/>
              </w:rPr>
              <w:t>除明确允许供应商可以自行编写的外，谈判响应文件应按照谈判文件给定的格式编制；</w:t>
            </w:r>
          </w:p>
        </w:tc>
        <w:tc>
          <w:tcPr>
            <w:tcW w:type="dxa" w:w="1661"/>
          </w:tcPr>
          <w:p>
            <w:pPr>
              <w:pStyle w:val="null3"/>
            </w:pPr>
            <w:r>
              <w:rPr>
                <w:rFonts w:ascii="仿宋_GB2312" w:hAnsi="仿宋_GB2312" w:cs="仿宋_GB2312" w:eastAsia="仿宋_GB2312"/>
              </w:rPr>
              <w:t>响应文件封面 报价一览表及分项报价表.docx 供应商应提交的相关资格证明材料.docx 中小企业声明函 残疾人福利性单位声明函 标的清单 谈判响应方案说明.docx 响应函 商务及技术偏离表.docx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报价一览表及分项报价表.docx 供应商应提交的相关资格证明材料.docx 中小企业声明函 残疾人福利性单位声明函 标的清单 谈判响应方案说明.docx 响应函 商务及技术偏离表.docx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报价一览表及分项报价表.docx 供应商应提交的相关资格证明材料.docx 中小企业声明函 残疾人福利性单位声明函 标的清单 谈判响应方案说明.docx 响应函 商务及技术偏离表.docx 供应商承诺书.docx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报价一览表及分项报价表.docx 供应商应提交的相关资格证明材料.docx 中小企业声明函 残疾人福利性单位声明函 标的清单 谈判响应方案说明.docx 响应函 商务及技术偏离表.docx 供应商承诺书.docx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满足谈判文件要求</w:t>
            </w:r>
          </w:p>
        </w:tc>
        <w:tc>
          <w:tcPr>
            <w:tcW w:type="dxa" w:w="1661"/>
          </w:tcPr>
          <w:p>
            <w:pPr>
              <w:pStyle w:val="null3"/>
            </w:pPr>
            <w:r>
              <w:rPr>
                <w:rFonts w:ascii="仿宋_GB2312" w:hAnsi="仿宋_GB2312" w:cs="仿宋_GB2312" w:eastAsia="仿宋_GB2312"/>
              </w:rPr>
              <w:t>响应文件封面 报价一览表及分项报价表.docx 供应商应提交的相关资格证明材料.docx 中小企业声明函 残疾人福利性单位声明函 标的清单 谈判响应方案说明.docx 响应函 商务及技术偏离表.docx 供应商承诺书.docx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只能有一个有效谈判报价，不得提交选择性谈判报价，且谈判报价小于最高限价要求的。</w:t>
            </w:r>
          </w:p>
        </w:tc>
        <w:tc>
          <w:tcPr>
            <w:tcW w:type="dxa" w:w="1661"/>
          </w:tcPr>
          <w:p>
            <w:pPr>
              <w:pStyle w:val="null3"/>
            </w:pPr>
            <w:r>
              <w:rPr>
                <w:rFonts w:ascii="仿宋_GB2312" w:hAnsi="仿宋_GB2312" w:cs="仿宋_GB2312" w:eastAsia="仿宋_GB2312"/>
              </w:rPr>
              <w:t>响应文件封面 报价一览表及分项报价表.docx 供应商应提交的相关资格证明材料.docx 中小企业声明函 残疾人福利性单位声明函 标的清单 谈判响应方案说明.docx 响应函 商务及技术偏离表.docx 供应商承诺书.docx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实质性要求响应及承诺</w:t>
            </w:r>
          </w:p>
        </w:tc>
        <w:tc>
          <w:tcPr>
            <w:tcW w:type="dxa" w:w="3322"/>
          </w:tcPr>
          <w:p>
            <w:pPr>
              <w:pStyle w:val="null3"/>
            </w:pPr>
            <w:r>
              <w:rPr>
                <w:rFonts w:ascii="仿宋_GB2312" w:hAnsi="仿宋_GB2312" w:cs="仿宋_GB2312" w:eastAsia="仿宋_GB2312"/>
              </w:rPr>
              <w:t>谈判文件中要求的其他实质性响应及承诺等满足谈判文件要求</w:t>
            </w:r>
          </w:p>
        </w:tc>
        <w:tc>
          <w:tcPr>
            <w:tcW w:type="dxa" w:w="1661"/>
          </w:tcPr>
          <w:p>
            <w:pPr>
              <w:pStyle w:val="null3"/>
            </w:pPr>
            <w:r>
              <w:rPr>
                <w:rFonts w:ascii="仿宋_GB2312" w:hAnsi="仿宋_GB2312" w:cs="仿宋_GB2312" w:eastAsia="仿宋_GB2312"/>
              </w:rPr>
              <w:t>响应文件封面 报价一览表及分项报价表.docx 供应商应提交的相关资格证明材料.docx 中小企业声明函 残疾人福利性单位声明函 标的清单 谈判响应方案说明.docx 响应函 商务及技术偏离表.docx 供应商承诺书.docx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详见附件：报价一览表及分项报价表.docx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详见附件：谈判响应方案说明.docx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