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版本号：KY2025-1-62520250613001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雁塔校区北院7号公寓改造项目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KY2025-1-625</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雁塔校区北院7号公寓改造项目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KY2025-1-625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雁塔校区北院7号公寓改造项目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西安科技大学雁塔校区北院7号公寓改造项目，1项，具体详见第3章及工程量清单、图纸。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采购包1（雁塔校区北院7号公寓改造项目）：属于专门面向中小企业采购。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8、特定资质1：供应商应具有建设行政主管部门核发的建筑工程总承包三级及以上资质，并具备安全生产许可证。</w:t>
      </w:r>
    </w:p>
    <w:p>
      <w:pPr>
        <w:pStyle w:val="null3"/>
      </w:pPr>
      <w:r>
        <w:rPr>
          <w:rFonts w:ascii="仿宋_GB2312" w:hAnsi="仿宋_GB2312" w:cs="仿宋_GB2312" w:eastAsia="仿宋_GB2312"/>
        </w:rPr>
        <w:t>9、特定资质2：供应商及供应商拟派项目经理须在“全国建筑市场监管公共服务平台（https://jzsc.mohurd.gov.cn/home）”可查询。</w:t>
      </w:r>
    </w:p>
    <w:p>
      <w:pPr>
        <w:pStyle w:val="null3"/>
      </w:pPr>
      <w:r>
        <w:rPr>
          <w:rFonts w:ascii="仿宋_GB2312" w:hAnsi="仿宋_GB2312" w:cs="仿宋_GB2312" w:eastAsia="仿宋_GB2312"/>
        </w:rPr>
        <w:t>10、项目负责人资质要求：拟派项目负责人具备有效的建筑工程专业二级及以上注册建造师资格，具备有效的安全生产考核合格证，且具有近半年内任意一个月本单位社保缴纳证明，并提供无在建工程承诺函。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余雅兰、韩婷、吕江涛、卢韶华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银行账号：86113010750181501004129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说明：供应商成交后凭成交通知书向采购人缴纳成交金额的3%作为履约保证金，验收合格后转为质保金，待质保期满后无息退还。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计取方式为：招标代理服务费的收取参见国家计委颁布的《招标代理服务收费管理暂行办法》（计价格[2002]1980号）和（发改办价格[2003]857号）中工程类收费标准的77.5%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踏勘时间：2025-06-23 10:00:00</w:t>
            </w:r>
          </w:p>
          <w:p>
            <w:pPr>
              <w:pStyle w:val="null3"/>
              <w:ind w:firstLine="975"/>
            </w:pPr>
            <w:r>
              <w:rPr>
                <w:rFonts w:ascii="仿宋_GB2312" w:hAnsi="仿宋_GB2312" w:cs="仿宋_GB2312" w:eastAsia="仿宋_GB2312"/>
              </w:rPr>
              <w:t>踏勘地点：西安科技大学雁塔校区北院</w:t>
            </w:r>
          </w:p>
          <w:p>
            <w:pPr>
              <w:pStyle w:val="null3"/>
              <w:ind w:firstLine="975"/>
            </w:pPr>
            <w:r>
              <w:rPr>
                <w:rFonts w:ascii="仿宋_GB2312" w:hAnsi="仿宋_GB2312" w:cs="仿宋_GB2312" w:eastAsia="仿宋_GB2312"/>
              </w:rPr>
              <w:t>联系人：余雅兰</w:t>
            </w:r>
          </w:p>
          <w:p>
            <w:pPr>
              <w:pStyle w:val="null3"/>
              <w:ind w:firstLine="975"/>
            </w:pPr>
            <w:r>
              <w:rPr>
                <w:rFonts w:ascii="仿宋_GB2312" w:hAnsi="仿宋_GB2312" w:cs="仿宋_GB2312" w:eastAsia="仿宋_GB2312"/>
              </w:rPr>
              <w:t>联系电话号码：15929930936</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3,820,000.00</w:t>
      </w:r>
    </w:p>
    <w:p>
      <w:pPr>
        <w:pStyle w:val="null3"/>
      </w:pPr>
      <w:r>
        <w:rPr>
          <w:rFonts w:ascii="仿宋_GB2312" w:hAnsi="仿宋_GB2312" w:cs="仿宋_GB2312" w:eastAsia="仿宋_GB2312"/>
        </w:rPr>
        <w:t>采购包最高限价（元）: 3,820,000.00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雁塔校区北院7号公寓改造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标的名称：雁塔校区北院7号公寓改造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1.项目概况</w:t>
            </w:r>
          </w:p>
          <w:p>
            <w:pPr>
              <w:pStyle w:val="null3"/>
              <w:ind w:firstLine="480"/>
            </w:pPr>
            <w:r>
              <w:rPr>
                <w:rFonts w:ascii="仿宋_GB2312" w:hAnsi="仿宋_GB2312" w:cs="仿宋_GB2312" w:eastAsia="仿宋_GB2312"/>
                <w:sz w:val="24"/>
              </w:rPr>
              <w:t>西安科技大学雁塔校区北院7号公寓建于1996年，三层砖混结构，建筑面积约1300平米，楼体呈L型，长边约40米，短边约23米，宽约6米。因设施老化，条件较差，已不能满足日常需求。改造内容：拆除原地面瓷砖、原有管道、家具、墙面粉刷、钢结构外走廊、室内装修、室外污水井、花坛、上下水、电气改造等。</w:t>
            </w:r>
          </w:p>
          <w:p>
            <w:pPr>
              <w:pStyle w:val="null3"/>
              <w:ind w:firstLine="480"/>
            </w:pPr>
            <w:r>
              <w:rPr>
                <w:rFonts w:ascii="仿宋_GB2312" w:hAnsi="仿宋_GB2312" w:cs="仿宋_GB2312" w:eastAsia="仿宋_GB2312"/>
                <w:sz w:val="24"/>
              </w:rPr>
              <w:t>预算382万元（含15万暂列金）</w:t>
            </w:r>
          </w:p>
          <w:p>
            <w:pPr>
              <w:pStyle w:val="null3"/>
            </w:pPr>
            <w:r>
              <w:rPr>
                <w:rFonts w:ascii="仿宋_GB2312" w:hAnsi="仿宋_GB2312" w:cs="仿宋_GB2312" w:eastAsia="仿宋_GB2312"/>
                <w:sz w:val="24"/>
              </w:rPr>
              <w:t>2.采购（招标）范围</w:t>
            </w:r>
          </w:p>
          <w:p>
            <w:pPr>
              <w:pStyle w:val="null3"/>
              <w:ind w:firstLine="480"/>
            </w:pPr>
            <w:r>
              <w:rPr>
                <w:rFonts w:ascii="仿宋_GB2312" w:hAnsi="仿宋_GB2312" w:cs="仿宋_GB2312" w:eastAsia="仿宋_GB2312"/>
                <w:sz w:val="24"/>
              </w:rPr>
              <w:t>包含原有地面、墙面、顶棚、卫生间吊顶、洁具、家具等拆除，室内装修、钢结构外走廊、室外污水井、上下水、电气改造等。</w:t>
            </w:r>
          </w:p>
          <w:p>
            <w:pPr>
              <w:pStyle w:val="null3"/>
            </w:pPr>
            <w:r>
              <w:rPr>
                <w:rFonts w:ascii="仿宋_GB2312" w:hAnsi="仿宋_GB2312" w:cs="仿宋_GB2312" w:eastAsia="仿宋_GB2312"/>
                <w:sz w:val="24"/>
              </w:rPr>
              <w:t>3.主要关键设备特殊需求表</w:t>
            </w:r>
          </w:p>
          <w:tbl>
            <w:tblPr>
              <w:tblInd w:type="dxa" w:w="120"/>
              <w:tblBorders>
                <w:top w:val="none" w:color="000000" w:sz="4"/>
                <w:left w:val="none" w:color="000000" w:sz="4"/>
                <w:bottom w:val="none" w:color="000000" w:sz="4"/>
                <w:right w:val="none" w:color="000000" w:sz="4"/>
                <w:insideH w:val="none"/>
                <w:insideV w:val="none"/>
              </w:tblBorders>
            </w:tblPr>
            <w:tblGrid>
              <w:gridCol w:w="265"/>
              <w:gridCol w:w="703"/>
              <w:gridCol w:w="466"/>
              <w:gridCol w:w="608"/>
              <w:gridCol w:w="230"/>
              <w:gridCol w:w="230"/>
              <w:gridCol w:w="283"/>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关键设备</w:t>
                  </w:r>
                </w:p>
                <w:p>
                  <w:pPr>
                    <w:pStyle w:val="null3"/>
                    <w:jc w:val="center"/>
                  </w:pPr>
                  <w:r>
                    <w:rPr>
                      <w:rFonts w:ascii="仿宋_GB2312" w:hAnsi="仿宋_GB2312" w:cs="仿宋_GB2312" w:eastAsia="仿宋_GB2312"/>
                      <w:sz w:val="24"/>
                      <w:b/>
                    </w:rPr>
                    <w:t>名称</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p>
                  <w:pPr>
                    <w:pStyle w:val="null3"/>
                    <w:jc w:val="center"/>
                  </w:pPr>
                  <w:r>
                    <w:rPr>
                      <w:rFonts w:ascii="仿宋_GB2312" w:hAnsi="仿宋_GB2312" w:cs="仿宋_GB2312" w:eastAsia="仿宋_GB2312"/>
                      <w:sz w:val="24"/>
                      <w:b/>
                    </w:rPr>
                    <w:t>型号</w:t>
                  </w:r>
                </w:p>
              </w:tc>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材质及质量等级</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观光电梯</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w:t>
                  </w:r>
                </w:p>
                <w:p>
                  <w:pPr>
                    <w:pStyle w:val="null3"/>
                    <w:jc w:val="center"/>
                  </w:pPr>
                  <w:r>
                    <w:rPr>
                      <w:rFonts w:ascii="仿宋_GB2312" w:hAnsi="仿宋_GB2312" w:cs="仿宋_GB2312" w:eastAsia="仿宋_GB2312"/>
                      <w:sz w:val="24"/>
                    </w:rPr>
                    <w:t>公斤</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具体见</w:t>
                  </w:r>
                </w:p>
                <w:p>
                  <w:pPr>
                    <w:pStyle w:val="null3"/>
                    <w:jc w:val="center"/>
                  </w:pPr>
                  <w:r>
                    <w:rPr>
                      <w:rFonts w:ascii="仿宋_GB2312" w:hAnsi="仿宋_GB2312" w:cs="仿宋_GB2312" w:eastAsia="仿宋_GB2312"/>
                      <w:sz w:val="24"/>
                    </w:rPr>
                    <w:t>附件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rPr>
              <w:t>4.工程验收的主要依据、标准及要求：</w:t>
            </w:r>
          </w:p>
          <w:tbl>
            <w:tblPr>
              <w:tblInd w:type="dxa" w:w="120"/>
              <w:tblBorders>
                <w:top w:val="none" w:color="000000" w:sz="4"/>
                <w:left w:val="none" w:color="000000" w:sz="4"/>
                <w:bottom w:val="none" w:color="000000" w:sz="4"/>
                <w:right w:val="none" w:color="000000" w:sz="4"/>
                <w:insideH w:val="none"/>
                <w:insideV w:val="none"/>
              </w:tblBorders>
            </w:tblPr>
            <w:tblGrid>
              <w:gridCol w:w="129"/>
              <w:gridCol w:w="2424"/>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规范、规程、标准名称</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《建筑工程施工质量验收统一标准》GB 50300—2013</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2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《建筑装饰装修工程质量验收标准》GB</w:t>
                  </w:r>
                  <w:r>
                    <w:rPr>
                      <w:rFonts w:ascii="仿宋_GB2312" w:hAnsi="仿宋_GB2312" w:cs="仿宋_GB2312" w:eastAsia="仿宋_GB2312"/>
                      <w:sz w:val="24"/>
                    </w:rPr>
                    <w:t>/T</w:t>
                  </w:r>
                  <w:r>
                    <w:rPr>
                      <w:rFonts w:ascii="仿宋_GB2312" w:hAnsi="仿宋_GB2312" w:cs="仿宋_GB2312" w:eastAsia="仿宋_GB2312"/>
                      <w:sz w:val="24"/>
                    </w:rPr>
                    <w:t xml:space="preserve"> 50210—2018</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2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《电梯工程施工质量验收规范》GB 50310—2002</w:t>
                  </w:r>
                </w:p>
              </w:tc>
            </w:tr>
          </w:tbl>
          <w:p>
            <w:pPr>
              <w:pStyle w:val="null3"/>
            </w:pPr>
            <w:r>
              <w:rPr>
                <w:rFonts w:ascii="仿宋_GB2312" w:hAnsi="仿宋_GB2312" w:cs="仿宋_GB2312" w:eastAsia="仿宋_GB2312"/>
                <w:sz w:val="24"/>
              </w:rPr>
              <w:t>5.其他说明</w:t>
            </w:r>
          </w:p>
          <w:p>
            <w:pPr>
              <w:pStyle w:val="null3"/>
            </w:pPr>
            <w:r>
              <w:rPr>
                <w:rFonts w:ascii="仿宋_GB2312" w:hAnsi="仿宋_GB2312" w:cs="仿宋_GB2312" w:eastAsia="仿宋_GB2312"/>
                <w:sz w:val="24"/>
              </w:rPr>
              <w:t>供应商应负有以下责任事项：</w:t>
            </w:r>
          </w:p>
          <w:p>
            <w:pPr>
              <w:pStyle w:val="null3"/>
            </w:pPr>
            <w:r>
              <w:rPr>
                <w:rFonts w:ascii="仿宋_GB2312" w:hAnsi="仿宋_GB2312" w:cs="仿宋_GB2312" w:eastAsia="仿宋_GB2312"/>
                <w:sz w:val="24"/>
              </w:rPr>
              <w:t>（1）在施工期间负责与住建、规划、城管、环保等政府部门的协调沟通，办理相关手续，所需费用由中标人承担。</w:t>
            </w:r>
          </w:p>
          <w:p>
            <w:pPr>
              <w:pStyle w:val="null3"/>
            </w:pPr>
            <w:r>
              <w:rPr>
                <w:rFonts w:ascii="仿宋_GB2312" w:hAnsi="仿宋_GB2312" w:cs="仿宋_GB2312" w:eastAsia="仿宋_GB2312"/>
                <w:sz w:val="24"/>
              </w:rPr>
              <w:t>（2）负责施工期间使用的水、电线路、围栏和防护设施等；并提供施工用电、用水计划，水电费用提前与学校动力部门对接，安装水电表进行计量。</w:t>
            </w:r>
          </w:p>
          <w:p>
            <w:pPr>
              <w:pStyle w:val="null3"/>
            </w:pPr>
            <w:r>
              <w:rPr>
                <w:rFonts w:ascii="仿宋_GB2312" w:hAnsi="仿宋_GB2312" w:cs="仿宋_GB2312" w:eastAsia="仿宋_GB2312"/>
                <w:sz w:val="24"/>
              </w:rPr>
              <w:t>（3）遵守学校对施工场地交通、卫生和施工噪音管理规定。</w:t>
            </w:r>
          </w:p>
          <w:p>
            <w:pPr>
              <w:pStyle w:val="null3"/>
            </w:pPr>
            <w:r>
              <w:rPr>
                <w:rFonts w:ascii="仿宋_GB2312" w:hAnsi="仿宋_GB2312" w:cs="仿宋_GB2312" w:eastAsia="仿宋_GB2312"/>
                <w:sz w:val="24"/>
              </w:rPr>
              <w:t>（4）在工程未交付使用之前，承包人负责已完成工程的成品保护工作，保护期间发生损坏，由承包人负责修复。</w:t>
            </w:r>
          </w:p>
          <w:p>
            <w:pPr>
              <w:pStyle w:val="null3"/>
            </w:pPr>
            <w:r>
              <w:rPr>
                <w:rFonts w:ascii="仿宋_GB2312" w:hAnsi="仿宋_GB2312" w:cs="仿宋_GB2312" w:eastAsia="仿宋_GB2312"/>
                <w:sz w:val="24"/>
              </w:rPr>
              <w:t>（5）做好施工场地内的管线和构筑物的成品保护工作；损坏时由承包人负责修复。</w:t>
            </w:r>
          </w:p>
          <w:p>
            <w:pPr>
              <w:pStyle w:val="null3"/>
            </w:pPr>
            <w:r>
              <w:rPr>
                <w:rFonts w:ascii="仿宋_GB2312" w:hAnsi="仿宋_GB2312" w:cs="仿宋_GB2312" w:eastAsia="仿宋_GB2312"/>
                <w:sz w:val="24"/>
              </w:rPr>
              <w:t>（6）保证施工现场清洁符合文明工地有关规定，交工前清理现场达无污染，现场无建筑垃圾；承担因此而造成的损失和罚款。</w:t>
            </w:r>
          </w:p>
          <w:p>
            <w:pPr>
              <w:pStyle w:val="null3"/>
            </w:pPr>
            <w:r>
              <w:rPr>
                <w:rFonts w:ascii="仿宋_GB2312" w:hAnsi="仿宋_GB2312" w:cs="仿宋_GB2312" w:eastAsia="仿宋_GB2312"/>
                <w:sz w:val="24"/>
              </w:rPr>
              <w:t>（7）组织施工人员进行施工安全、防火、防盗安全交底等，指定专人负责施工现场安全工作，承担因此而造成的损失和罚款。</w:t>
            </w:r>
          </w:p>
          <w:p>
            <w:pPr>
              <w:pStyle w:val="null3"/>
            </w:pPr>
            <w:r>
              <w:rPr>
                <w:rFonts w:ascii="仿宋_GB2312" w:hAnsi="仿宋_GB2312" w:cs="仿宋_GB2312" w:eastAsia="仿宋_GB2312"/>
                <w:sz w:val="24"/>
              </w:rPr>
              <w:t>（8）要充分考虑天气因素、设备保护、高空作业、噪音干扰等诸多因素对施工的影响。</w:t>
            </w:r>
          </w:p>
          <w:p>
            <w:pPr>
              <w:pStyle w:val="null3"/>
              <w:jc w:val="both"/>
            </w:pPr>
            <w:r>
              <w:rPr>
                <w:rFonts w:ascii="仿宋_GB2312" w:hAnsi="仿宋_GB2312" w:cs="仿宋_GB2312" w:eastAsia="仿宋_GB2312"/>
                <w:sz w:val="24"/>
              </w:rPr>
              <w:t>（9）因电梯属于特种设备，负责与特种设备检测研究院对接，确保电梯备案及验收。</w:t>
            </w:r>
          </w:p>
          <w:p>
            <w:pPr>
              <w:pStyle w:val="null3"/>
              <w:jc w:val="both"/>
            </w:pPr>
            <w:r>
              <w:rPr>
                <w:rFonts w:ascii="仿宋_GB2312" w:hAnsi="仿宋_GB2312" w:cs="仿宋_GB2312" w:eastAsia="仿宋_GB2312"/>
                <w:sz w:val="24"/>
              </w:rPr>
              <w:t>6.踏勘</w:t>
            </w:r>
          </w:p>
          <w:p>
            <w:pPr>
              <w:pStyle w:val="null3"/>
            </w:pPr>
            <w:r>
              <w:rPr>
                <w:rFonts w:ascii="仿宋_GB2312" w:hAnsi="仿宋_GB2312" w:cs="仿宋_GB2312" w:eastAsia="仿宋_GB2312"/>
                <w:sz w:val="24"/>
              </w:rPr>
              <w:t>踏勘时间：2025-06-23 10:00:00</w:t>
            </w:r>
          </w:p>
          <w:p>
            <w:pPr>
              <w:pStyle w:val="null3"/>
            </w:pPr>
            <w:r>
              <w:rPr>
                <w:rFonts w:ascii="仿宋_GB2312" w:hAnsi="仿宋_GB2312" w:cs="仿宋_GB2312" w:eastAsia="仿宋_GB2312"/>
                <w:sz w:val="24"/>
              </w:rPr>
              <w:t xml:space="preserve">踏勘地点：西安科技大学雁塔校区北院 </w:t>
            </w:r>
          </w:p>
          <w:p>
            <w:pPr>
              <w:pStyle w:val="null3"/>
            </w:pPr>
            <w:r>
              <w:rPr>
                <w:rFonts w:ascii="仿宋_GB2312" w:hAnsi="仿宋_GB2312" w:cs="仿宋_GB2312" w:eastAsia="仿宋_GB2312"/>
                <w:sz w:val="24"/>
              </w:rPr>
              <w:t>（备注：</w:t>
            </w:r>
          </w:p>
          <w:p>
            <w:pPr>
              <w:pStyle w:val="null3"/>
            </w:pPr>
            <w:r>
              <w:rPr>
                <w:rFonts w:ascii="仿宋_GB2312" w:hAnsi="仿宋_GB2312" w:cs="仿宋_GB2312" w:eastAsia="仿宋_GB2312"/>
                <w:sz w:val="24"/>
              </w:rPr>
              <w:t>1、现场统一组织踏勘，未进行现场踏勘供应商视为无效投标。</w:t>
            </w:r>
          </w:p>
          <w:p>
            <w:pPr>
              <w:pStyle w:val="null3"/>
            </w:pPr>
            <w:r>
              <w:rPr>
                <w:rFonts w:ascii="仿宋_GB2312" w:hAnsi="仿宋_GB2312" w:cs="仿宋_GB2312" w:eastAsia="仿宋_GB2312"/>
                <w:sz w:val="24"/>
              </w:rPr>
              <w:t>2、凡因对施工现场、施工环境、市场行情等了解不清而造成的后果和风险，由供应商自行承担。</w:t>
            </w:r>
          </w:p>
          <w:p>
            <w:pPr>
              <w:pStyle w:val="null3"/>
            </w:pPr>
            <w:r>
              <w:rPr>
                <w:rFonts w:ascii="仿宋_GB2312" w:hAnsi="仿宋_GB2312" w:cs="仿宋_GB2312" w:eastAsia="仿宋_GB2312"/>
                <w:sz w:val="24"/>
              </w:rPr>
              <w:t>3、踏勘相关费用及安全由供应商自行承担。</w:t>
            </w:r>
          </w:p>
          <w:p>
            <w:pPr>
              <w:pStyle w:val="null3"/>
            </w:pPr>
            <w:r>
              <w:rPr>
                <w:rFonts w:ascii="仿宋_GB2312" w:hAnsi="仿宋_GB2312" w:cs="仿宋_GB2312" w:eastAsia="仿宋_GB2312"/>
                <w:sz w:val="24"/>
              </w:rPr>
              <w:t>4、踏勘时各供应商有疑问可以在现场提出，由采购人当场解答，否则视为供应商再无疑义。</w:t>
            </w:r>
          </w:p>
          <w:p>
            <w:pPr>
              <w:pStyle w:val="null3"/>
            </w:pPr>
            <w:r>
              <w:rPr>
                <w:rFonts w:ascii="仿宋_GB2312" w:hAnsi="仿宋_GB2312" w:cs="仿宋_GB2312" w:eastAsia="仿宋_GB2312"/>
                <w:sz w:val="24"/>
              </w:rPr>
              <w:t>5、请确认踏勘的供应商在勘探时间前将公司名称、踏勘联系人、联系电话编辑文字发送至邮箱1106712518@qq.com。</w:t>
            </w:r>
            <w:r>
              <w:rPr>
                <w:rFonts w:ascii="仿宋_GB2312" w:hAnsi="仿宋_GB2312" w:cs="仿宋_GB2312" w:eastAsia="仿宋_GB2312"/>
                <w:sz w:val="24"/>
              </w:rPr>
              <w:t>）</w:t>
            </w:r>
          </w:p>
          <w:p>
            <w:pPr>
              <w:pStyle w:val="null3"/>
            </w:pPr>
            <w:r>
              <w:rPr>
                <w:rFonts w:ascii="仿宋_GB2312" w:hAnsi="仿宋_GB2312" w:cs="仿宋_GB2312" w:eastAsia="仿宋_GB2312"/>
                <w:sz w:val="24"/>
              </w:rPr>
              <w:t>联系人：余雅兰</w:t>
            </w:r>
          </w:p>
          <w:p>
            <w:pPr>
              <w:pStyle w:val="null3"/>
            </w:pPr>
            <w:r>
              <w:rPr>
                <w:rFonts w:ascii="仿宋_GB2312" w:hAnsi="仿宋_GB2312" w:cs="仿宋_GB2312" w:eastAsia="仿宋_GB2312"/>
                <w:sz w:val="24"/>
              </w:rPr>
              <w:t>联系方式：15929930936</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商务要求</w:t>
            </w:r>
          </w:p>
          <w:p>
            <w:pPr>
              <w:pStyle w:val="null3"/>
            </w:pPr>
            <w:r>
              <w:rPr>
                <w:rFonts w:ascii="仿宋_GB2312" w:hAnsi="仿宋_GB2312" w:cs="仿宋_GB2312" w:eastAsia="仿宋_GB2312"/>
                <w:sz w:val="24"/>
              </w:rPr>
              <w:t>1、工期：80日历天；</w:t>
            </w:r>
          </w:p>
          <w:p>
            <w:pPr>
              <w:pStyle w:val="null3"/>
            </w:pPr>
            <w:r>
              <w:rPr>
                <w:rFonts w:ascii="仿宋_GB2312" w:hAnsi="仿宋_GB2312" w:cs="仿宋_GB2312" w:eastAsia="仿宋_GB2312"/>
                <w:sz w:val="24"/>
              </w:rPr>
              <w:t>2、工程质量：合格，达到国家规范要求。</w:t>
            </w:r>
          </w:p>
          <w:p>
            <w:pPr>
              <w:pStyle w:val="null3"/>
            </w:pPr>
            <w:r>
              <w:rPr>
                <w:rFonts w:ascii="仿宋_GB2312" w:hAnsi="仿宋_GB2312" w:cs="仿宋_GB2312" w:eastAsia="仿宋_GB2312"/>
                <w:sz w:val="24"/>
              </w:rPr>
              <w:t>3、质保期：</w:t>
            </w:r>
            <w:r>
              <w:rPr>
                <w:rFonts w:ascii="仿宋_GB2312" w:hAnsi="仿宋_GB2312" w:cs="仿宋_GB2312" w:eastAsia="仿宋_GB2312"/>
                <w:sz w:val="24"/>
              </w:rPr>
              <w:t>符合国家规范要求</w:t>
            </w:r>
            <w:r>
              <w:rPr>
                <w:rFonts w:ascii="仿宋_GB2312" w:hAnsi="仿宋_GB2312" w:cs="仿宋_GB2312" w:eastAsia="仿宋_GB2312"/>
                <w:sz w:val="24"/>
              </w:rPr>
              <w:t>；</w:t>
            </w:r>
          </w:p>
          <w:p>
            <w:pPr>
              <w:pStyle w:val="null3"/>
            </w:pPr>
            <w:r>
              <w:rPr>
                <w:rFonts w:ascii="仿宋_GB2312" w:hAnsi="仿宋_GB2312" w:cs="仿宋_GB2312" w:eastAsia="仿宋_GB2312"/>
                <w:sz w:val="24"/>
              </w:rPr>
              <w:t>4、项目实施地点：西安科技大学指定地点</w:t>
            </w:r>
          </w:p>
          <w:p>
            <w:pPr>
              <w:pStyle w:val="null3"/>
            </w:pPr>
            <w:r>
              <w:rPr>
                <w:rFonts w:ascii="仿宋_GB2312" w:hAnsi="仿宋_GB2312" w:cs="仿宋_GB2312" w:eastAsia="仿宋_GB2312"/>
                <w:sz w:val="24"/>
              </w:rPr>
              <w:t>5、</w:t>
            </w:r>
            <w:r>
              <w:rPr>
                <w:rFonts w:ascii="仿宋_GB2312" w:hAnsi="仿宋_GB2312" w:cs="仿宋_GB2312" w:eastAsia="仿宋_GB2312"/>
                <w:sz w:val="24"/>
              </w:rPr>
              <w:t>付款方式要求及履约保证金</w:t>
            </w:r>
          </w:p>
          <w:p>
            <w:pPr>
              <w:pStyle w:val="null3"/>
            </w:pPr>
            <w:r>
              <w:rPr>
                <w:rFonts w:ascii="仿宋_GB2312" w:hAnsi="仿宋_GB2312" w:cs="仿宋_GB2312" w:eastAsia="仿宋_GB2312"/>
                <w:sz w:val="24"/>
              </w:rPr>
              <w:t>（</w:t>
            </w:r>
            <w:r>
              <w:rPr>
                <w:rFonts w:ascii="仿宋_GB2312" w:hAnsi="仿宋_GB2312" w:cs="仿宋_GB2312" w:eastAsia="仿宋_GB2312"/>
                <w:sz w:val="24"/>
              </w:rPr>
              <w:t>1）付款方式</w:t>
            </w:r>
          </w:p>
          <w:p>
            <w:pPr>
              <w:pStyle w:val="null3"/>
            </w:pPr>
            <w:r>
              <w:rPr>
                <w:rFonts w:ascii="仿宋_GB2312" w:hAnsi="仿宋_GB2312" w:cs="仿宋_GB2312" w:eastAsia="仿宋_GB2312"/>
                <w:sz w:val="24"/>
              </w:rPr>
              <w:t>签订合同前向学校缴纳</w:t>
            </w:r>
            <w:r>
              <w:rPr>
                <w:rFonts w:ascii="仿宋_GB2312" w:hAnsi="仿宋_GB2312" w:cs="仿宋_GB2312" w:eastAsia="仿宋_GB2312"/>
                <w:sz w:val="24"/>
              </w:rPr>
              <w:t>3%的履约保证金，合同签订后采购人支付40%合同金额的预付款。工程完工经学校验收合格后支付20%工程款，经工程审计，支付至审定价的100%。</w:t>
            </w:r>
          </w:p>
          <w:p>
            <w:pPr>
              <w:pStyle w:val="null3"/>
            </w:pPr>
            <w:r>
              <w:rPr>
                <w:rFonts w:ascii="仿宋_GB2312" w:hAnsi="仿宋_GB2312" w:cs="仿宋_GB2312" w:eastAsia="仿宋_GB2312"/>
                <w:sz w:val="24"/>
              </w:rPr>
              <w:t>（</w:t>
            </w:r>
            <w:r>
              <w:rPr>
                <w:rFonts w:ascii="仿宋_GB2312" w:hAnsi="仿宋_GB2312" w:cs="仿宋_GB2312" w:eastAsia="仿宋_GB2312"/>
                <w:sz w:val="24"/>
              </w:rPr>
              <w:t>2）履约保证金</w:t>
            </w:r>
          </w:p>
          <w:p>
            <w:pPr>
              <w:pStyle w:val="null3"/>
              <w:jc w:val="both"/>
            </w:pPr>
            <w:r>
              <w:rPr>
                <w:rFonts w:ascii="仿宋_GB2312" w:hAnsi="仿宋_GB2312" w:cs="仿宋_GB2312" w:eastAsia="仿宋_GB2312"/>
                <w:sz w:val="24"/>
              </w:rPr>
              <w:t>供应商成交后凭成交通知书向采购人缴纳成交金额的</w:t>
            </w:r>
            <w:r>
              <w:rPr>
                <w:rFonts w:ascii="仿宋_GB2312" w:hAnsi="仿宋_GB2312" w:cs="仿宋_GB2312" w:eastAsia="仿宋_GB2312"/>
                <w:sz w:val="24"/>
              </w:rPr>
              <w:t>3%作为履约保证金，验收合格后转为质保金，待质保期满后无息退还。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通知书发出后，成交供应商需提供响应文件正本壹套、副本贰套、电子版壹套(U盘一套标明供应商名称)且提供的响应文件纸质版与电子版必须与在陕西省政府采购网电子化交易系统上提交的电子响应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供应商应具有建设行政主管部门核发的建筑工程总承包三级及以上资质，并具备安全生产许可证。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供应商及供应商拟派项目经理须在“全国建筑市场监管公共服务平台（https://jzsc.mohurd.gov.cn/home）”可查询。</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项目负责人资质要求</w:t>
            </w:r>
          </w:p>
        </w:tc>
        <w:tc>
          <w:tcPr>
            <w:tcW w:type="dxa" w:w="3322"/>
          </w:tcPr>
          <w:p>
            <w:pPr>
              <w:pStyle w:val="null3"/>
            </w:pPr>
            <w:r>
              <w:rPr>
                <w:rFonts w:ascii="仿宋_GB2312" w:hAnsi="仿宋_GB2312" w:cs="仿宋_GB2312" w:eastAsia="仿宋_GB2312"/>
              </w:rPr>
              <w:t>拟派项目负责人具备有效的建筑工程专业二级及以上注册建造师资格，具备有效的安全生产考核合格证，且具有近半年内任意一个月本单位社保缴纳证明，并提供无在建工程承诺函。</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保证金缴纳凭证 强制优先采购产品承诺函 响应文件封面 响应方案说明 项目管理机构组成表 响应报价表 残疾人福利性单位声明函 报价函 标的清单 供应商类似项目业绩一览表 供应商承诺书 响应函 主要人员简历表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保证金缴纳凭证 强制优先采购产品承诺函 响应文件封面 响应方案说明 项目管理机构组成表 响应报价表 残疾人福利性单位声明函 报价函 标的清单 供应商类似项目业绩一览表 供应商承诺书 响应函 主要人员简历表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保证金缴纳凭证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保证金缴纳凭证 强制优先采购产品承诺函 响应文件封面 响应方案说明 项目管理机构组成表 响应报价表 残疾人福利性单位声明函 报价函 标的清单 供应商类似项目业绩一览表 供应商承诺书 响应函 主要人员简历表 监狱企业的证明文件 供应商资格证明文件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施工组织设计-施工方案</w:t>
            </w:r>
          </w:p>
        </w:tc>
        <w:tc>
          <w:tcPr>
            <w:tcW w:type="dxa" w:w="2492"/>
          </w:tcPr>
          <w:p>
            <w:pPr>
              <w:pStyle w:val="null3"/>
            </w:pPr>
            <w:r>
              <w:rPr>
                <w:rFonts w:ascii="仿宋_GB2312" w:hAnsi="仿宋_GB2312" w:cs="仿宋_GB2312" w:eastAsia="仿宋_GB2312"/>
              </w:rPr>
              <w:t>供应商针对本项目提供具体可行的施工方案。内容包括但不限于施工准备、施工阶段划分及施工方法、分项工程施工方案等。 1、施工方案针对性强，阶段划分合理、工作思路清晰，与项目需求符合度高，计5分； 2、施工方案针对性较强，阶段划分较合理、工作思路基本清晰，与项目需求符合度较高，计3分； 3、施工方案针对性一般，阶段划分合理性一般、工作思路简单，与项目需求基本符合，计1分；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施工组织设计-项目经理部</w:t>
            </w:r>
          </w:p>
        </w:tc>
        <w:tc>
          <w:tcPr>
            <w:tcW w:type="dxa" w:w="2492"/>
          </w:tcPr>
          <w:p>
            <w:pPr>
              <w:pStyle w:val="null3"/>
            </w:pPr>
            <w:r>
              <w:rPr>
                <w:rFonts w:ascii="仿宋_GB2312" w:hAnsi="仿宋_GB2312" w:cs="仿宋_GB2312" w:eastAsia="仿宋_GB2312"/>
              </w:rPr>
              <w:t>供应商针对本项目提供项目经理部组成方案。 方案内容包括但不限于组织机构设置、职责分工、管理制度等。 1、方案组织机构层级清晰，职责分工明确，制度体系完整，计5分； 2、方案组织机构层级较清晰，职责分工较明确，制度体系较完整，计3分； 3、方案组织机构层级基本清晰，职责分工基本明确，制度体系基本完整，计1分；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施工组织设计-工程质量</w:t>
            </w:r>
          </w:p>
        </w:tc>
        <w:tc>
          <w:tcPr>
            <w:tcW w:type="dxa" w:w="2492"/>
          </w:tcPr>
          <w:p>
            <w:pPr>
              <w:pStyle w:val="null3"/>
            </w:pPr>
            <w:r>
              <w:rPr>
                <w:rFonts w:ascii="仿宋_GB2312" w:hAnsi="仿宋_GB2312" w:cs="仿宋_GB2312" w:eastAsia="仿宋_GB2312"/>
              </w:rPr>
              <w:t>供应商针对本项目提供确保工程质量的技术组织措施。内容包括但不限于工程质量目标、质量控制方案、质量管理体系等。 1、质量目标量化明确，质量控制方案覆盖整个工期全流程，体系完整且可执行度高，计5分； 2、质量目标基本明确但未完全量化，质量控制方案主要节点有控制措施，体系基础制度完整但可执行度一般，计3分； 3、质量目标模糊或与规范冲突，质量控制方案流于形式，体系碎片化、执行困难，计1分；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施工组织设计-机械配备和材料投入</w:t>
            </w:r>
          </w:p>
        </w:tc>
        <w:tc>
          <w:tcPr>
            <w:tcW w:type="dxa" w:w="2492"/>
          </w:tcPr>
          <w:p>
            <w:pPr>
              <w:pStyle w:val="null3"/>
            </w:pPr>
            <w:r>
              <w:rPr>
                <w:rFonts w:ascii="仿宋_GB2312" w:hAnsi="仿宋_GB2312" w:cs="仿宋_GB2312" w:eastAsia="仿宋_GB2312"/>
              </w:rPr>
              <w:t>供应商针对本项目提供施工机械配备和材料投入计划。内容包括但不限于设备、材料选型与工程特征匹配、结合施工进度制定分阶段采购清单等。 1、设备与材料选型与本项目匹配度高，分阶段采购安排能满足施工进度要求，计5分； 2、设备与材料选型与本项目匹配度较高，分阶段采购安排基本满足施工进度要求，计3分； 3、设备与材料选型与本项目匹配度一般，分阶段采购安排不能满足施工进度要求，计1分；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施工组织设计-施工进度</w:t>
            </w:r>
          </w:p>
        </w:tc>
        <w:tc>
          <w:tcPr>
            <w:tcW w:type="dxa" w:w="2492"/>
          </w:tcPr>
          <w:p>
            <w:pPr>
              <w:pStyle w:val="null3"/>
            </w:pPr>
            <w:r>
              <w:rPr>
                <w:rFonts w:ascii="仿宋_GB2312" w:hAnsi="仿宋_GB2312" w:cs="仿宋_GB2312" w:eastAsia="仿宋_GB2312"/>
              </w:rPr>
              <w:t>提供可行的施工进度方案，内容包括但不限于进度计划安排表、进度控制与管理、进度保障措施等。 1、施工进度安排合理，图表内容清晰完整，各个施工阶段时间明确，能确保按时完成项目，计5分； 2、施工进度安排较合理，图表内容较清晰完整，各个施工阶段时间较明确，保障措施较齐全，计3分； 3、施工进度安排基本合理，图表内容基本清晰完整，各个施工阶段时间基本明确但保障措施不足，计1分；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施工组织设计-劳动力安排与计划</w:t>
            </w:r>
          </w:p>
        </w:tc>
        <w:tc>
          <w:tcPr>
            <w:tcW w:type="dxa" w:w="2492"/>
          </w:tcPr>
          <w:p>
            <w:pPr>
              <w:pStyle w:val="null3"/>
            </w:pPr>
            <w:r>
              <w:rPr>
                <w:rFonts w:ascii="仿宋_GB2312" w:hAnsi="仿宋_GB2312" w:cs="仿宋_GB2312" w:eastAsia="仿宋_GB2312"/>
              </w:rPr>
              <w:t>供应商提供劳动力安排计划方案，内容包括但不限于人员配置情况、人员进场安排情况、人员职责分工等。 1、人员配置合理，进场计划科学、精确，职责管理规范，计5分； 2、人员配置、进场计划安排较合理，职责管理较规范，计3分； 3、人员配置一般，进场计划不明确、职责管理模糊，计1分；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施工组织设计-安全生产与文明施工</w:t>
            </w:r>
          </w:p>
        </w:tc>
        <w:tc>
          <w:tcPr>
            <w:tcW w:type="dxa" w:w="2492"/>
          </w:tcPr>
          <w:p>
            <w:pPr>
              <w:pStyle w:val="null3"/>
            </w:pPr>
            <w:r>
              <w:rPr>
                <w:rFonts w:ascii="仿宋_GB2312" w:hAnsi="仿宋_GB2312" w:cs="仿宋_GB2312" w:eastAsia="仿宋_GB2312"/>
              </w:rPr>
              <w:t>供应商根据本项目要求，提供确保安全生产与文明施工的技术组织措施。内容包括但不限于安全文明施工保证计划、设施设备投入、管理体系要求、技术组织措施等。 1、安全生产与文明施工措施完善、合理，保障性高、考虑全面，计5分； 2、安全生产与文明施工措施较完善、合理，保障性较高、考虑较全面，计3分； 3、安全生产与文明施工措施基本完善、合理，保障性一般、考虑基本全面，计1分；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施工组织设计-新技术、新产品、新工艺、新材料应用</w:t>
            </w:r>
          </w:p>
        </w:tc>
        <w:tc>
          <w:tcPr>
            <w:tcW w:type="dxa" w:w="2492"/>
          </w:tcPr>
          <w:p>
            <w:pPr>
              <w:pStyle w:val="null3"/>
            </w:pPr>
            <w:r>
              <w:rPr>
                <w:rFonts w:ascii="仿宋_GB2312" w:hAnsi="仿宋_GB2312" w:cs="仿宋_GB2312" w:eastAsia="仿宋_GB2312"/>
              </w:rPr>
              <w:t>针对本项目对材料质量要求，供应商提供拟投入本项目的新技术、新产品、新工艺、新材料。内容包括但不限于拟投入新材料的明细、应用案例以及相应新技术新产品新工艺新材料的证明文件。 1、所提供明细清单详细，技术合规的证明文件齐全且多次投入项目使用，计4分； 2、所提供明细清单较详细，技术合规的证明材料较齐全，少量投入项目使用，计3分； 3、所提供明细清单基本详细，技术合规的证明材料基本齐全，缺乏应用案列，计2分；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一、供应商针对本项目提供主要材料清单（清单内容包括但不限于材料名称、品牌、规格、技术参数等）。 1、清单内容全面，主材技术参数优于项目需求，计8分； 2、清单内容全面，主材技术参数满足项目需求，计6分； 3、清单内容全面，主材技术参数与项目需求有细微偏差，计4分； 4、清单内容全面，主材技术参数与项目需求偏差较大，计2分； 5、未提供不计分。 二、施工所需主材产品为节能环保材料，提供相关证明材料； 1、产品为节能环保材料且证明材料完整、齐全，计2分； 2、产品为节能环保材料，证明材料基本完整、基本齐全，计1分； 3、未提供不计分。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针对可能出现的问题及重大故障，供应商有具体可行的应急措施和解决方案，内容包括但不限于响应时间、人员安排、突发事件解决措施及能力等。 1、方案具体可行、解决措施完善、合理有效，计6分； 2、方案较为可行、解决措施较完善、合理，计4分； 3、方案简单、突发事件有应急预案以及处置办法，但不够合理完善，内容空泛，计2分；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供应商应提供内容完备、科学合理、针对性强的施工保修承诺书。 1、承诺书保修范围与期限明确，响应机制合理可行，资源保障充足，计5分； 2、承诺书保修范围与期限较明确，响应机制较合理可行，资源保障较充足，计3分； 3、承诺书保修范围与期限不明确，响应机制可行性一般，资源保障不充足，计1分；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供应商提供2022年1月1日（以合同签订日期为准）至今承担过的类似项目的业绩合同，每提供一份计2分，满分10分。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详见附件：响应报价表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详见附件：保证金缴纳凭证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