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技术方案</w:t>
      </w:r>
      <w:bookmarkStart w:id="0" w:name="_GoBack"/>
      <w:bookmarkEnd w:id="0"/>
    </w:p>
    <w:p w14:paraId="12021BC6">
      <w:pPr>
        <w:rPr>
          <w:rFonts w:hint="eastAsia"/>
          <w:sz w:val="28"/>
          <w:szCs w:val="28"/>
          <w:lang w:eastAsia="zh-CN"/>
        </w:rPr>
      </w:pPr>
    </w:p>
    <w:p w14:paraId="058683A5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投标人按招标文件第</w:t>
      </w: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>章</w:t>
      </w:r>
      <w:r>
        <w:rPr>
          <w:rFonts w:hint="eastAsia"/>
          <w:sz w:val="28"/>
          <w:szCs w:val="28"/>
          <w:lang w:eastAsia="zh-CN"/>
        </w:rPr>
        <w:t>评标办法编制技术方案，格式自拟。）</w:t>
      </w: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F5107AF"/>
    <w:rsid w:val="10BA0D20"/>
    <w:rsid w:val="24C35F20"/>
    <w:rsid w:val="339F5C9A"/>
    <w:rsid w:val="41966B63"/>
    <w:rsid w:val="58C07C6D"/>
    <w:rsid w:val="7163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2025-06-17T08:10:19Z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