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版本号：ZDGC-ZC-250111020250618001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川金丝猴行为适应与栖息地监测研究项目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ZDGC-ZC-2501110</w:t>
      </w:r>
      <w:r>
        <w:br/>
      </w:r>
      <w:r>
        <w:br/>
      </w:r>
      <w:r>
        <w:br/>
      </w:r>
    </w:p>
    <w:p>
      <w:pPr>
        <w:pStyle w:val="null3"/>
        <w:jc w:val="center"/>
        <w:outlineLvl w:val="5"/>
      </w:pPr>
      <w:r>
        <w:rPr>
          <w:rFonts w:ascii="仿宋_GB2312" w:hAnsi="仿宋_GB2312" w:cs="仿宋_GB2312" w:eastAsia="仿宋_GB2312"/>
          <w:sz w:val="15"/>
          <w:b/>
        </w:rPr>
        <w:t>陕西省自然保护区与野生动植物管理站</w:t>
      </w:r>
    </w:p>
    <w:p>
      <w:pPr>
        <w:pStyle w:val="null3"/>
        <w:jc w:val="center"/>
        <w:outlineLvl w:val="5"/>
      </w:pPr>
      <w:r>
        <w:rPr>
          <w:rFonts w:ascii="仿宋_GB2312" w:hAnsi="仿宋_GB2312" w:cs="仿宋_GB2312" w:eastAsia="仿宋_GB2312"/>
          <w:sz w:val="15"/>
          <w:b/>
        </w:rPr>
        <w:t>陕西中达国创项目管理有限公司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陕西省自然保护区与野生动植物管理站</w:t>
      </w:r>
      <w:r>
        <w:rPr>
          <w:rFonts w:ascii="仿宋_GB2312" w:hAnsi="仿宋_GB2312" w:cs="仿宋_GB2312" w:eastAsia="仿宋_GB2312"/>
        </w:rPr>
        <w:t>委托，拟对</w:t>
      </w:r>
      <w:r>
        <w:rPr>
          <w:rFonts w:ascii="仿宋_GB2312" w:hAnsi="仿宋_GB2312" w:cs="仿宋_GB2312" w:eastAsia="仿宋_GB2312"/>
        </w:rPr>
        <w:t>川金丝猴行为适应与栖息地监测研究项目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ZDGC-ZC-2501110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川金丝猴行为适应与栖息地监测研究项目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通过本金丝猴种群及栖息地监测项目的实施，旨在进一步充实和完善关于境内金丝猴这一珍稀物种的基础信息体系，同时优化其保护设施，并广泛开展生态保护宣传教育，从而为保护区制定各项针对金丝猴的保护管理政策提供坚实的科学依据，显著提升保护管理工作的科学性和实效性。</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1、营业执照等主体资格证明文件：提供有效存续的企业营业执照（副本）/事业单位法人证书/专业服务机构执业许可证/民办非企业单位登记证书。（复印件加盖供应商公章）</w:t>
      </w:r>
    </w:p>
    <w:p>
      <w:pPr>
        <w:pStyle w:val="null3"/>
      </w:pPr>
      <w:r>
        <w:rPr>
          <w:rFonts w:ascii="仿宋_GB2312" w:hAnsi="仿宋_GB2312" w:cs="仿宋_GB2312" w:eastAsia="仿宋_GB2312"/>
        </w:rPr>
        <w:t>2、财务状况报告：提供2023年度或2024年度经审计的财务报告（包括审计报告、资产负债表、利润表、现金流量表、所有者权益变动表及其附注，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3、社保缴纳证明：提供已缴存的近一年以来至少一个月的社会保障资金缴存单据或社保机构开具的社会保险参保缴费情况证明。依法不需要缴纳社会保障资金的供应商应提供相关文件证明。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已缴纳近一年以来至少一个月的纳税证明或完税证明（提供增值税、企业所得税至少一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信用记录：提供《供应商书面声明函》（按格式填写，提供原件）。经查，供应商未被列入“信用中国”网站(www.creditchina.gov.cn)“记录失信被执行人、重大税收违法案件当事人名单或政府采购严重违法失信行为”记录名单；不处于中国政府采购网(www.ccgp.gov.cn)“政府采购严重违法失信行为信息记录”中的禁止参加政府采购活动期间。</w:t>
      </w:r>
    </w:p>
    <w:p>
      <w:pPr>
        <w:pStyle w:val="null3"/>
      </w:pPr>
      <w:r>
        <w:rPr>
          <w:rFonts w:ascii="仿宋_GB2312" w:hAnsi="仿宋_GB2312" w:cs="仿宋_GB2312" w:eastAsia="仿宋_GB2312"/>
        </w:rPr>
        <w:t>6、法定代表人授权委托书：法定代表人参加投标的，提供本人身份证复印件；法定代表人授权他人参加投标的，提供法定代表人授权委托书（按格式填写，提供原件）。</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陕西省自然保护区与野生动植物管理站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童拓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88652285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029-88661828、17792067075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中代理费计算方式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陕西省自然保护区与野生动植物管理站</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陕西省自然保护区与野生动植物管理站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项目验收以合同和国家相应的标准规范为依据。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通过本金丝猴种群及栖息地监测项目的实施，旨在进一步充实和完善关于境内金丝猴这一珍稀物种的基础信息体系，同时优化其保护设施，并广泛开展生态保护宣传教育，从而为保护区制定各项针对金丝猴的保护管理政策提供坚实的科学依据，显著提升保护管理工作的科学性和实效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川金丝猴行为适应与栖息地监测研究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标的名称：川金丝猴行为适应与栖息地监测研究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采购内容</w:t>
            </w:r>
            <w:r>
              <w:rPr>
                <w:rFonts w:ascii="仿宋_GB2312" w:hAnsi="仿宋_GB2312" w:cs="仿宋_GB2312" w:eastAsia="仿宋_GB2312"/>
              </w:rPr>
              <w:t>:</w:t>
            </w:r>
          </w:p>
          <w:p>
            <w:pPr>
              <w:pStyle w:val="null3"/>
              <w:jc w:val="both"/>
            </w:pPr>
            <w:r>
              <w:rPr>
                <w:rFonts w:ascii="仿宋_GB2312" w:hAnsi="仿宋_GB2312" w:cs="仿宋_GB2312" w:eastAsia="仿宋_GB2312"/>
                <w:sz w:val="21"/>
              </w:rPr>
              <w:t>本次调查涉及范围及内容</w:t>
            </w:r>
            <w:r>
              <w:rPr>
                <w:rFonts w:ascii="仿宋_GB2312" w:hAnsi="仿宋_GB2312" w:cs="仿宋_GB2312" w:eastAsia="仿宋_GB2312"/>
                <w:sz w:val="21"/>
                <w:color w:val="000000"/>
              </w:rPr>
              <w:t>。一是川金丝猴行为生态学研究调查。以秦岭濒危物种金丝猴为主要对象，研究动物的繁殖行为、迁移行为、觅食行为、社会行为等行为特征及其神经生物学与遗传学机制。二是川金丝猴动物保护生物学研究调查。主要关注人类活动对秦岭金丝猴的影响，包括栖息地破碎化、资源利用（如采笋采药）、道路建设、农业扩张、盗猎以及家畜入区等，揭示动物的受胁因素及其濒危的生态学机制。三是秦岭地区动物多样性、种群动态与栖息环境之间关系研究调查。研究川金丝猴分布区内栖息地的动物多样性分布格局、种群动态、栖息地质量特征与动态变化，动物对环境之间的应对机制和响应策略，探究同域分布的不同物种间的相互竞争合作关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主要功能或目标</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通过本金丝猴种群及栖息地监测项目的实施，旨在进一步充实和完善关于境内金丝猴这一珍稀物种的基础信息体系，同时优化其保护设施，并广泛开展生态保护宣传教育，从而为保护区制定各项针对金丝猴的保护管理政策提供坚实的科学依据，显著提升保护管理工作的科学性和实效性。</w:t>
            </w:r>
          </w:p>
          <w:p>
            <w:pPr>
              <w:pStyle w:val="null3"/>
              <w:jc w:val="both"/>
            </w:pPr>
            <w:r>
              <w:rPr>
                <w:rFonts w:ascii="仿宋_GB2312" w:hAnsi="仿宋_GB2312" w:cs="仿宋_GB2312" w:eastAsia="仿宋_GB2312"/>
                <w:sz w:val="21"/>
                <w:color w:val="000000"/>
              </w:rPr>
              <w:t>具体指标如下：</w:t>
            </w:r>
          </w:p>
          <w:p>
            <w:pPr>
              <w:pStyle w:val="null3"/>
              <w:numPr>
                <w:ilvl w:val="0"/>
                <w:numId w:val="1"/>
              </w:numPr>
              <w:jc w:val="both"/>
            </w:pPr>
            <w:r>
              <w:rPr>
                <w:rFonts w:ascii="仿宋_GB2312" w:hAnsi="仿宋_GB2312" w:cs="仿宋_GB2312" w:eastAsia="仿宋_GB2312"/>
                <w:sz w:val="21"/>
                <w:color w:val="000000"/>
              </w:rPr>
              <w:t>采集并测定食物样本的营养成分：</w:t>
            </w:r>
            <w:r>
              <w:rPr>
                <w:rFonts w:ascii="仿宋_GB2312" w:hAnsi="仿宋_GB2312" w:cs="仿宋_GB2312" w:eastAsia="仿宋_GB2312"/>
                <w:sz w:val="21"/>
                <w:color w:val="000000"/>
              </w:rPr>
              <w:t>200</w:t>
            </w:r>
            <w:r>
              <w:rPr>
                <w:rFonts w:ascii="仿宋_GB2312" w:hAnsi="仿宋_GB2312" w:cs="仿宋_GB2312" w:eastAsia="仿宋_GB2312"/>
                <w:sz w:val="21"/>
                <w:color w:val="000000"/>
              </w:rPr>
              <w:t>份，</w:t>
            </w:r>
          </w:p>
          <w:p>
            <w:pPr>
              <w:pStyle w:val="null3"/>
              <w:numPr>
                <w:ilvl w:val="0"/>
                <w:numId w:val="1"/>
              </w:numPr>
              <w:jc w:val="both"/>
            </w:pPr>
            <w:r>
              <w:rPr>
                <w:rFonts w:ascii="仿宋_GB2312" w:hAnsi="仿宋_GB2312" w:cs="仿宋_GB2312" w:eastAsia="仿宋_GB2312"/>
                <w:sz w:val="21"/>
                <w:color w:val="000000"/>
              </w:rPr>
              <w:t>采集测定动物体表和肠道微生物组成</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份，</w:t>
            </w:r>
          </w:p>
          <w:p>
            <w:pPr>
              <w:pStyle w:val="null3"/>
              <w:numPr>
                <w:ilvl w:val="0"/>
                <w:numId w:val="1"/>
              </w:numPr>
              <w:jc w:val="both"/>
            </w:pPr>
            <w:r>
              <w:rPr>
                <w:rFonts w:ascii="仿宋_GB2312" w:hAnsi="仿宋_GB2312" w:cs="仿宋_GB2312" w:eastAsia="仿宋_GB2312"/>
                <w:sz w:val="21"/>
                <w:color w:val="000000"/>
              </w:rPr>
              <w:t>收集动物行为数据：</w:t>
            </w:r>
            <w:r>
              <w:rPr>
                <w:rFonts w:ascii="仿宋_GB2312" w:hAnsi="仿宋_GB2312" w:cs="仿宋_GB2312" w:eastAsia="仿宋_GB2312"/>
                <w:sz w:val="21"/>
                <w:color w:val="000000"/>
              </w:rPr>
              <w:t>5</w:t>
            </w:r>
            <w:r>
              <w:rPr>
                <w:rFonts w:ascii="仿宋_GB2312" w:hAnsi="仿宋_GB2312" w:cs="仿宋_GB2312" w:eastAsia="仿宋_GB2312"/>
                <w:sz w:val="21"/>
                <w:color w:val="000000"/>
              </w:rPr>
              <w:t>000</w:t>
            </w:r>
            <w:r>
              <w:rPr>
                <w:rFonts w:ascii="仿宋_GB2312" w:hAnsi="仿宋_GB2312" w:cs="仿宋_GB2312" w:eastAsia="仿宋_GB2312"/>
                <w:sz w:val="21"/>
                <w:color w:val="000000"/>
              </w:rPr>
              <w:t>条，</w:t>
            </w:r>
          </w:p>
          <w:p>
            <w:pPr>
              <w:pStyle w:val="null3"/>
              <w:numPr>
                <w:ilvl w:val="0"/>
                <w:numId w:val="1"/>
              </w:numPr>
              <w:jc w:val="both"/>
            </w:pPr>
            <w:r>
              <w:rPr>
                <w:rFonts w:ascii="仿宋_GB2312" w:hAnsi="仿宋_GB2312" w:cs="仿宋_GB2312" w:eastAsia="仿宋_GB2312"/>
                <w:sz w:val="21"/>
                <w:color w:val="000000"/>
              </w:rPr>
              <w:t>及时发布信息，吸引社会公众对于野生动物保护事业的关注，发表科普论文：</w:t>
            </w:r>
            <w:r>
              <w:rPr>
                <w:rFonts w:ascii="仿宋_GB2312" w:hAnsi="仿宋_GB2312" w:cs="仿宋_GB2312" w:eastAsia="仿宋_GB2312"/>
                <w:sz w:val="21"/>
                <w:color w:val="000000"/>
              </w:rPr>
              <w:t>5篇；</w:t>
            </w:r>
          </w:p>
          <w:p>
            <w:pPr>
              <w:pStyle w:val="null3"/>
              <w:jc w:val="both"/>
            </w:pPr>
            <w:r>
              <w:rPr>
                <w:rFonts w:ascii="仿宋_GB2312" w:hAnsi="仿宋_GB2312" w:cs="仿宋_GB2312" w:eastAsia="仿宋_GB2312"/>
                <w:sz w:val="21"/>
                <w:color w:val="000000"/>
              </w:rPr>
              <w:t>提交项目总结报告</w:t>
            </w:r>
            <w:r>
              <w:rPr>
                <w:rFonts w:ascii="仿宋_GB2312" w:hAnsi="仿宋_GB2312" w:cs="仿宋_GB2312" w:eastAsia="仿宋_GB2312"/>
                <w:sz w:val="21"/>
                <w:color w:val="000000"/>
              </w:rPr>
              <w:t>1份。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满足本项目实施要求。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完成任务80%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按照合同约定，甲方组织专家验收。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本项目需要落实的政府采购政策： （1）《政府采购促进中小企业发展管理办法》（财库〔2020〕46号）； （2）《财政部 司法部关于政府采购支持监狱企业发展有关问题的通知》（财库〔2014〕68号）； （3）《国务院办公厅关于建立政府强制采购节能产品制度的通知》（国发办〔2007〕51号）； （4）《关于印发节能产品政府采购品目清单的通知》（财库〔2019〕19号）； （5）《关于印发环境标志产品政府采购品目清单的通知》（财库〔2019〕18号）； （6）《三部门联合发布关于促进残疾人就业政府采购政策的通知》（财库〔2017〕141号）； （7）《财政部发展改革委 生态环境部 市场监管总局关于调整优化节能产品、环境标志产品政府采购执行机制的通知》（财库〔2019〕9号）； （8）陕西省财政厅关于印发《陕西省中小企业政府采购信用融资办法》（陕财办采〔2018〕23号）； （9）《财政部 农业农村部 国家乡村振兴局关于运用政府采购政策支持乡村产业振兴的通知》（财库〔2021〕19 号）； （10）《财政部 农业农村部 国家乡村振兴局 中华全国供销合作总社关于印发&lt;关于深入开展政府采购脱贫地区农副产品工作推进乡村产业振兴的实施意见&gt;的通知》（财库〔2021〕20 号）； （11）《陕西省财政厅关于加快推进我省中小企业政府采购信用融资工作的通知》（陕财办采〔2020〕15号）； （12）《关于进一步加强政府绿色采购有关问题的通知》（陕财办采〔2021〕29号）； （13）《陕西省财政厅、中国人民银行西安分行关于深入推进政府采购信用融资业务的通知》（陕财办采〔2023〕5号）； （14）其他需要落实的政府采购政策，详见采购文件。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提供有效存续的企业营业执照（副本）/事业单位法人证书/专业服务机构执业许可证/民办非企业单位登记证书。（复印件加盖供应商公章）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提供已缴存的近一年以来至少一个月的社会保障资金缴存单据或社保机构开具的社会保险参保缴费情况证明。依法不需要缴纳社会保障资金的供应商应提供相关文件证明。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提供已缴纳近一年以来至少一个月的纳税证明或完税证明（提供增值税、企业所得税至少一种），纳税证明或完税证明上应有代收机构或税务机关的公章或业务专用章。依法免税的供应商应提供相关文件证明。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书面声明函》（按格式填写，提供原件）。经查，供应商未被列入“信用中国”网站(www.creditchina.gov.cn)“记录失信被执行人、重大税收违法案件当事人名单或政府采购严重违法失信行为”记录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法定代表人参加投标的，提供本人身份证复印件；法定代表人授权他人参加投标的，提供法定代表人授权委托书（按格式填写，提供原件）。</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（1）报价符合唯一性要求；（2）未超出采购预算或采购文件规定的最高限价；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响应有效期满足竞争性采购文件的要求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应满足采购文件中要求的服务期。</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实质性响应了采购文件要求；响应文件中没有含采购人不能接受的附加条件或其他情形。</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