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版本号：ZMZB2025SWJXZ-17220250617001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陕西省全民健康信息平台(交换枢纽)支撑医疗机构开展国家医疗健康信息互联互通标准化成熟度测评及医疗数据对接治理服务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ZMZB2025SWJXZ-172</w:t>
      </w:r>
      <w:r>
        <w:br/>
      </w:r>
      <w:r>
        <w:br/>
      </w:r>
      <w:r>
        <w:br/>
      </w:r>
    </w:p>
    <w:p>
      <w:pPr>
        <w:pStyle w:val="null3"/>
        <w:jc w:val="center"/>
        <w:outlineLvl w:val="2"/>
      </w:pPr>
      <w:r>
        <w:rPr>
          <w:rFonts w:ascii="仿宋_GB2312" w:hAnsi="仿宋_GB2312" w:cs="仿宋_GB2312" w:eastAsia="仿宋_GB2312"/>
          <w:sz w:val="28"/>
          <w:b/>
        </w:rPr>
        <w:t>陕西省卫生健康信息中心</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陕西省卫生健康信息中心</w:t>
      </w:r>
      <w:r>
        <w:rPr>
          <w:rFonts w:ascii="仿宋_GB2312" w:hAnsi="仿宋_GB2312" w:cs="仿宋_GB2312" w:eastAsia="仿宋_GB2312"/>
        </w:rPr>
        <w:t>委托，拟对</w:t>
      </w:r>
      <w:r>
        <w:rPr>
          <w:rFonts w:ascii="仿宋_GB2312" w:hAnsi="仿宋_GB2312" w:cs="仿宋_GB2312" w:eastAsia="仿宋_GB2312"/>
        </w:rPr>
        <w:t>陕西省全民健康信息平台(交换枢纽)支撑医疗机构开展国家医疗健康信息互联互通标准化成熟度测评及医疗数据对接治理服务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ZMZB2025SWJXZ-172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陕西省全民健康信息平台(交换枢纽)支撑医疗机构开展国家医疗健康信息互联互通标准化成熟度测评及医疗数据对接治理服务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陕西省全民健康信息平台(交换枢纽)支撑医疗机构开展国家医疗健康信息互联互通标准化成熟度测评及医疗数据对接治理服务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陕西省卫生健康信息中心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西安市莲湖区顺城北路西段38号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029-87397295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侯倩雨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陕西省卫生健康信息中心</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陕西省卫生健康信息中心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陕西省卫生健康信息中心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联系人：米文佳</w:t>
      </w:r>
    </w:p>
    <w:p>
      <w:pPr>
        <w:pStyle w:val="null3"/>
      </w:pPr>
      <w:r>
        <w:rPr>
          <w:rFonts w:ascii="仿宋_GB2312" w:hAnsi="仿宋_GB2312" w:cs="仿宋_GB2312" w:eastAsia="仿宋_GB2312"/>
        </w:rPr>
        <w:t>联系电话：17778966063</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陕西省全民健康信息平台(交换枢纽)支撑医疗机构开展国家医疗健康信息互联互通标准化成熟度测评及医疗数据对接治理服务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互联互通</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标的名称：互联互通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建设背景</w:t>
            </w:r>
          </w:p>
          <w:p>
            <w:pPr>
              <w:pStyle w:val="null3"/>
              <w:jc w:val="both"/>
            </w:pPr>
            <w:r>
              <w:rPr>
                <w:rFonts w:ascii="仿宋_GB2312" w:hAnsi="仿宋_GB2312" w:cs="仿宋_GB2312" w:eastAsia="仿宋_GB2312"/>
              </w:rPr>
              <w:t>在国家全面推进健康中国战略和数字中国建设的背景下，全民健康信息化建设迎来重大发展机遇。国家层面相继出台《</w:t>
            </w:r>
            <w:r>
              <w:rPr>
                <w:rFonts w:ascii="仿宋_GB2312" w:hAnsi="仿宋_GB2312" w:cs="仿宋_GB2312" w:eastAsia="仿宋_GB2312"/>
              </w:rPr>
              <w:t>"十四五"全民健康信息化规划》和《全国医疗卫生机构信息互通共享三年攻坚行动方案（2023-2025）》，明确提出要在2024年底前建成全国一体化的卫生健康数据共享枢纽体系，实现跨部门、跨地区、跨层级的医疗健康数据共享交换。</w:t>
            </w:r>
          </w:p>
          <w:p>
            <w:pPr>
              <w:pStyle w:val="null3"/>
              <w:jc w:val="both"/>
            </w:pPr>
            <w:r>
              <w:rPr>
                <w:rFonts w:ascii="仿宋_GB2312" w:hAnsi="仿宋_GB2312" w:cs="仿宋_GB2312" w:eastAsia="仿宋_GB2312"/>
              </w:rPr>
              <w:t>陕西省积极响应国家部署，扎实推进健康信息化建设：</w:t>
            </w:r>
            <w:r>
              <w:rPr>
                <w:rFonts w:ascii="仿宋_GB2312" w:hAnsi="仿宋_GB2312" w:cs="仿宋_GB2312" w:eastAsia="仿宋_GB2312"/>
              </w:rPr>
              <w:t>2023年率先完成省级数据交换枢纽一期项目，构建了统一标准规范和数据中台；2024年又启动专项服务项目，助力重点医疗机构争创国家互联互通五级乙等测评。这些举措为提升全省医疗健康信息共享水平奠定了坚实基础。</w:t>
            </w:r>
          </w:p>
          <w:p>
            <w:pPr>
              <w:pStyle w:val="null3"/>
              <w:jc w:val="both"/>
            </w:pPr>
            <w:r>
              <w:rPr>
                <w:rFonts w:ascii="仿宋_GB2312" w:hAnsi="仿宋_GB2312" w:cs="仿宋_GB2312" w:eastAsia="仿宋_GB2312"/>
              </w:rPr>
              <w:t>为进一步贯彻落实国家要求，加快实现医疗机构间信息互联互通，现拟开展本项目建设，重点提升省属委管医疗机构的互联互通能力和全民健康信息平台数据治理能力，推动全省医疗健康信息共享应用向更高水平发展，为人民群众提供更加优质、便捷的医疗服务</w:t>
            </w:r>
            <w:r>
              <w:rPr>
                <w:rFonts w:ascii="仿宋_GB2312" w:hAnsi="仿宋_GB2312" w:cs="仿宋_GB2312" w:eastAsia="仿宋_GB2312"/>
              </w:rPr>
              <w:t>。</w:t>
            </w:r>
          </w:p>
          <w:p>
            <w:pPr>
              <w:pStyle w:val="null3"/>
              <w:jc w:val="both"/>
            </w:pPr>
            <w:r>
              <w:rPr>
                <w:rFonts w:ascii="仿宋_GB2312" w:hAnsi="仿宋_GB2312" w:cs="仿宋_GB2312" w:eastAsia="仿宋_GB2312"/>
              </w:rPr>
              <w:t>二、建设目标</w:t>
            </w:r>
          </w:p>
          <w:p>
            <w:pPr>
              <w:pStyle w:val="null3"/>
              <w:jc w:val="both"/>
            </w:pPr>
            <w:r>
              <w:rPr>
                <w:rFonts w:ascii="仿宋_GB2312" w:hAnsi="仿宋_GB2312" w:cs="仿宋_GB2312" w:eastAsia="仿宋_GB2312"/>
              </w:rPr>
              <w:t>在前期数据交换枢纽建设成果的基础上，进一步完善信息化资产管理和医疗数据互联互通支撑体系，提升数据治理能力，进一步提升陕西省全民健康信息平台的服务能力和支撑水平，推动医疗卫生信息化的高质量发展提供有力支撑。</w:t>
            </w:r>
          </w:p>
          <w:p>
            <w:pPr>
              <w:pStyle w:val="null3"/>
              <w:jc w:val="both"/>
            </w:pPr>
            <w:r>
              <w:rPr>
                <w:rFonts w:ascii="仿宋_GB2312" w:hAnsi="仿宋_GB2312" w:cs="仿宋_GB2312" w:eastAsia="仿宋_GB2312"/>
              </w:rPr>
              <w:t>为实现上述目标，项目将建设信息化资产管理系统，全面规范委内各业务系统的信息化资产管理流程，覆盖从需求立项、采购实施、运行维护到报废处置的全生命周期管理，提升资源配置效率与管理精细化水平。同时，项目将加快推进省属医疗机构数据汇聚和互联互通支撑能力，支持新增医疗机构开展共享文档的采集与交换，强化数据治理与共享功能，持续提升数据质量、可用性和应用价值，构建医疗机构间共享文档的高效调阅机制，有效支撑医疗机构完成信息互联互通相关测评工作。</w:t>
            </w:r>
          </w:p>
          <w:p>
            <w:pPr>
              <w:pStyle w:val="null3"/>
              <w:spacing w:before="120" w:after="120"/>
              <w:jc w:val="both"/>
              <w:outlineLvl w:val="0"/>
            </w:pPr>
            <w:r>
              <w:rPr>
                <w:rFonts w:ascii="仿宋_GB2312" w:hAnsi="仿宋_GB2312" w:cs="仿宋_GB2312" w:eastAsia="仿宋_GB2312"/>
                <w:sz w:val="20"/>
                <w:b/>
              </w:rPr>
              <w:t>三、建设内容</w:t>
            </w:r>
          </w:p>
          <w:tbl>
            <w:tblPr>
              <w:tblInd w:type="dxa" w:w="120"/>
              <w:tblBorders>
                <w:top w:val="none" w:color="000000" w:sz="4"/>
                <w:left w:val="none" w:color="000000" w:sz="4"/>
                <w:bottom w:val="none" w:color="000000" w:sz="4"/>
                <w:right w:val="none" w:color="000000" w:sz="4"/>
                <w:insideH w:val="none"/>
                <w:insideV w:val="none"/>
              </w:tblBorders>
            </w:tblPr>
            <w:tblGrid>
              <w:gridCol w:w="318"/>
              <w:gridCol w:w="648"/>
              <w:gridCol w:w="1587"/>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223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建设内容</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信息化资产管理系统</w:t>
                  </w:r>
                </w:p>
              </w:tc>
              <w:tc>
                <w:tcPr>
                  <w:tcW w:type="dxa" w:w="1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系统管理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资产管理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漏洞管理</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互联互通测评支撑</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陕西省中医医院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西北妇女儿童医院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陕西省肿瘤医院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陕西省第二人民医院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陕西省结核病防治院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西安交通大学第二附属医院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西北大学第一医院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西安医学院第一附属医院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西安医学院第二附属医院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西安医学院第三附属医院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西电集团医院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陕西省康复医院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数据治理服务</w:t>
                  </w: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标准管理服务</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48"/>
                  <w:vMerge/>
                  <w:tcBorders>
                    <w:top w:val="none" w:color="000000" w:sz="4"/>
                    <w:left w:val="single" w:color="000000" w:sz="4"/>
                    <w:bottom w:val="single" w:color="000000" w:sz="4"/>
                    <w:right w:val="single" w:color="000000" w:sz="4"/>
                  </w:tcBorders>
                </w:tcPr>
                <w:p/>
              </w:tc>
              <w:tc>
                <w:tcPr>
                  <w:tcW w:type="dxa" w:w="1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数据质量控制服务</w:t>
                  </w:r>
                </w:p>
              </w:tc>
            </w:tr>
          </w:tbl>
          <w:p>
            <w:pPr>
              <w:pStyle w:val="null3"/>
              <w:spacing w:before="120" w:after="120"/>
              <w:jc w:val="both"/>
              <w:outlineLvl w:val="0"/>
            </w:pPr>
            <w:r>
              <w:rPr>
                <w:rFonts w:ascii="仿宋_GB2312" w:hAnsi="仿宋_GB2312" w:cs="仿宋_GB2312" w:eastAsia="仿宋_GB2312"/>
                <w:sz w:val="20"/>
                <w:b/>
              </w:rPr>
              <w:t>四、建设要求</w:t>
            </w:r>
          </w:p>
          <w:p>
            <w:pPr>
              <w:pStyle w:val="null3"/>
              <w:jc w:val="both"/>
            </w:pPr>
            <w:r>
              <w:rPr>
                <w:rFonts w:ascii="仿宋_GB2312" w:hAnsi="仿宋_GB2312" w:cs="仿宋_GB2312" w:eastAsia="仿宋_GB2312"/>
              </w:rPr>
              <w:t>4.1信息化资产管理系统</w:t>
            </w:r>
          </w:p>
          <w:p>
            <w:pPr>
              <w:pStyle w:val="null3"/>
              <w:jc w:val="both"/>
            </w:pPr>
            <w:r>
              <w:rPr>
                <w:rFonts w:ascii="仿宋_GB2312" w:hAnsi="仿宋_GB2312" w:cs="仿宋_GB2312" w:eastAsia="仿宋_GB2312"/>
              </w:rPr>
              <w:t>供应商需提供信息化资产管理系统，通过规范资产的维护和申请流程，规范信息化资产的管理，同时支持系统管理员对现有资产使用情况进行查看和维护；需提供漏洞管理功能，及时发布存在漏洞的中间件或依赖包，并及时通知到对应资产的归属人进行漏洞的解决，做到漏洞的有效跟踪。</w:t>
            </w:r>
          </w:p>
          <w:p>
            <w:pPr>
              <w:pStyle w:val="null3"/>
              <w:jc w:val="both"/>
            </w:pPr>
            <w:r>
              <w:rPr>
                <w:rFonts w:ascii="仿宋_GB2312" w:hAnsi="仿宋_GB2312" w:cs="仿宋_GB2312" w:eastAsia="仿宋_GB2312"/>
              </w:rPr>
              <w:t>4.1.1系统管理</w:t>
            </w:r>
          </w:p>
          <w:p>
            <w:pPr>
              <w:pStyle w:val="null3"/>
              <w:jc w:val="both"/>
            </w:pPr>
            <w:r>
              <w:rPr>
                <w:rFonts w:ascii="仿宋_GB2312" w:hAnsi="仿宋_GB2312" w:cs="仿宋_GB2312" w:eastAsia="仿宋_GB2312"/>
              </w:rPr>
              <w:t>4.1.1.1系统登录/退出</w:t>
            </w:r>
          </w:p>
          <w:p>
            <w:pPr>
              <w:pStyle w:val="null3"/>
              <w:jc w:val="both"/>
            </w:pPr>
            <w:r>
              <w:rPr>
                <w:rFonts w:ascii="仿宋_GB2312" w:hAnsi="仿宋_GB2312" w:cs="仿宋_GB2312" w:eastAsia="仿宋_GB2312"/>
              </w:rPr>
              <w:t>需提供系统的登录和退出功能，支持使用用户名、密码登录，一键退出。</w:t>
            </w:r>
          </w:p>
          <w:p>
            <w:pPr>
              <w:pStyle w:val="null3"/>
              <w:jc w:val="both"/>
            </w:pPr>
            <w:r>
              <w:rPr>
                <w:rFonts w:ascii="仿宋_GB2312" w:hAnsi="仿宋_GB2312" w:cs="仿宋_GB2312" w:eastAsia="仿宋_GB2312"/>
              </w:rPr>
              <w:t>4.1.1.2机构管理</w:t>
            </w:r>
          </w:p>
          <w:p>
            <w:pPr>
              <w:pStyle w:val="null3"/>
              <w:jc w:val="both"/>
            </w:pPr>
            <w:r>
              <w:rPr>
                <w:rFonts w:ascii="仿宋_GB2312" w:hAnsi="仿宋_GB2312" w:cs="仿宋_GB2312" w:eastAsia="仿宋_GB2312"/>
              </w:rPr>
              <w:t>需提供机构管理功能，支持机构的新增、修改、删除以及维护下级机构的功能，机构信息需包括但不限于机构名称、外部编码、描述等。</w:t>
            </w:r>
          </w:p>
          <w:p>
            <w:pPr>
              <w:pStyle w:val="null3"/>
              <w:jc w:val="both"/>
            </w:pPr>
            <w:r>
              <w:rPr>
                <w:rFonts w:ascii="仿宋_GB2312" w:hAnsi="仿宋_GB2312" w:cs="仿宋_GB2312" w:eastAsia="仿宋_GB2312"/>
              </w:rPr>
              <w:t>4.1.1.3用户管理</w:t>
            </w:r>
          </w:p>
          <w:p>
            <w:pPr>
              <w:pStyle w:val="null3"/>
              <w:jc w:val="both"/>
            </w:pPr>
            <w:r>
              <w:rPr>
                <w:rFonts w:ascii="仿宋_GB2312" w:hAnsi="仿宋_GB2312" w:cs="仿宋_GB2312" w:eastAsia="仿宋_GB2312"/>
              </w:rPr>
              <w:t>需提供用户管理功能，支持人员的新增、修改、删除等操作，人员信息需包括但不限于姓名、归属机构、外部编码、电话、电子邮箱等。</w:t>
            </w:r>
          </w:p>
          <w:p>
            <w:pPr>
              <w:pStyle w:val="null3"/>
              <w:jc w:val="both"/>
            </w:pPr>
            <w:r>
              <w:rPr>
                <w:rFonts w:ascii="仿宋_GB2312" w:hAnsi="仿宋_GB2312" w:cs="仿宋_GB2312" w:eastAsia="仿宋_GB2312"/>
              </w:rPr>
              <w:t>4.1.2资产管理</w:t>
            </w:r>
          </w:p>
          <w:p>
            <w:pPr>
              <w:pStyle w:val="null3"/>
              <w:jc w:val="both"/>
            </w:pPr>
            <w:r>
              <w:rPr>
                <w:rFonts w:ascii="仿宋_GB2312" w:hAnsi="仿宋_GB2312" w:cs="仿宋_GB2312" w:eastAsia="仿宋_GB2312"/>
              </w:rPr>
              <w:t>4.1.2.1资产维护</w:t>
            </w:r>
          </w:p>
          <w:p>
            <w:pPr>
              <w:pStyle w:val="null3"/>
              <w:jc w:val="both"/>
            </w:pPr>
            <w:r>
              <w:rPr>
                <w:rFonts w:ascii="仿宋_GB2312" w:hAnsi="仿宋_GB2312" w:cs="仿宋_GB2312" w:eastAsia="仿宋_GB2312"/>
              </w:rPr>
              <w:t>需提供资产维护功能，支持资产信息的新增、修改、删除操作，支持资产信息的</w:t>
            </w:r>
            <w:r>
              <w:rPr>
                <w:rFonts w:ascii="仿宋_GB2312" w:hAnsi="仿宋_GB2312" w:cs="仿宋_GB2312" w:eastAsia="仿宋_GB2312"/>
              </w:rPr>
              <w:t>Excel模板导入及列表导出功能。资产信息需包括但不限于资产类型、服务器信息、操作系统信息、数据库信息等，导入功能应支持下载模板、填写并上传资产信息文件后批量导入资产数据。</w:t>
            </w:r>
          </w:p>
          <w:p>
            <w:pPr>
              <w:pStyle w:val="null3"/>
              <w:jc w:val="both"/>
            </w:pPr>
            <w:r>
              <w:rPr>
                <w:rFonts w:ascii="仿宋_GB2312" w:hAnsi="仿宋_GB2312" w:cs="仿宋_GB2312" w:eastAsia="仿宋_GB2312"/>
              </w:rPr>
              <w:t>4.1.2.2资产申请</w:t>
            </w:r>
          </w:p>
          <w:p>
            <w:pPr>
              <w:pStyle w:val="null3"/>
              <w:jc w:val="both"/>
            </w:pPr>
            <w:r>
              <w:rPr>
                <w:rFonts w:ascii="仿宋_GB2312" w:hAnsi="仿宋_GB2312" w:cs="仿宋_GB2312" w:eastAsia="仿宋_GB2312"/>
              </w:rPr>
              <w:t>需提供资产申请功能，支持用户提交资产使用申请，填写申请标题、描述及预计使用时间。系统需支持按需申请硬件资产、数据库资产及软件安装包，并可分别填写服务器信息、数据库信息及安装包信息。支持为硬件资产设置端口访问策略，支持上传相关软件系统安装包。完成信息填写后可提交形成一条资产使用申请记录。</w:t>
            </w:r>
          </w:p>
          <w:p>
            <w:pPr>
              <w:pStyle w:val="null3"/>
              <w:jc w:val="both"/>
            </w:pPr>
            <w:r>
              <w:rPr>
                <w:rFonts w:ascii="仿宋_GB2312" w:hAnsi="仿宋_GB2312" w:cs="仿宋_GB2312" w:eastAsia="仿宋_GB2312"/>
              </w:rPr>
              <w:t>4.1.2.3资产审批</w:t>
            </w:r>
          </w:p>
          <w:p>
            <w:pPr>
              <w:pStyle w:val="null3"/>
              <w:jc w:val="both"/>
            </w:pPr>
            <w:r>
              <w:rPr>
                <w:rFonts w:ascii="仿宋_GB2312" w:hAnsi="仿宋_GB2312" w:cs="仿宋_GB2312" w:eastAsia="仿宋_GB2312"/>
              </w:rPr>
              <w:t>需提供资产审批功能，支持审批人员查看待审批资产申请，填写审批意见，并执行同意或拒绝操作。</w:t>
            </w:r>
          </w:p>
          <w:p>
            <w:pPr>
              <w:pStyle w:val="null3"/>
              <w:jc w:val="both"/>
            </w:pPr>
            <w:r>
              <w:rPr>
                <w:rFonts w:ascii="仿宋_GB2312" w:hAnsi="仿宋_GB2312" w:cs="仿宋_GB2312" w:eastAsia="仿宋_GB2312"/>
              </w:rPr>
              <w:t>系统需支持对通过审批的资产申请进行资源分配，包括服务器资源、数据库资源的选择与端口策略配置，并支持资产变更申请的调整与分配操作。支持审批与分配流程分步进行，审批完成后可进入待分配环节继续操作。</w:t>
            </w:r>
          </w:p>
          <w:p>
            <w:pPr>
              <w:pStyle w:val="null3"/>
              <w:jc w:val="both"/>
            </w:pPr>
            <w:r>
              <w:rPr>
                <w:rFonts w:ascii="仿宋_GB2312" w:hAnsi="仿宋_GB2312" w:cs="仿宋_GB2312" w:eastAsia="仿宋_GB2312"/>
              </w:rPr>
              <w:t>4.1.2.4资产分配</w:t>
            </w:r>
          </w:p>
          <w:p>
            <w:pPr>
              <w:pStyle w:val="null3"/>
              <w:jc w:val="both"/>
            </w:pPr>
            <w:r>
              <w:rPr>
                <w:rFonts w:ascii="仿宋_GB2312" w:hAnsi="仿宋_GB2312" w:cs="仿宋_GB2312" w:eastAsia="仿宋_GB2312"/>
              </w:rPr>
              <w:t>需提供资产分配功能，支持管理员查看资产详情及其分配情况，支持将资产分配给用户，并填写分配信息后完成保存操作。需支持对已分配资产进行单个或批量回收，包括通过资产详情页进行逐条回收，以及在资产列表中统一执行强制回收操作。</w:t>
            </w:r>
          </w:p>
          <w:p>
            <w:pPr>
              <w:pStyle w:val="null3"/>
              <w:jc w:val="both"/>
            </w:pPr>
            <w:r>
              <w:rPr>
                <w:rFonts w:ascii="仿宋_GB2312" w:hAnsi="仿宋_GB2312" w:cs="仿宋_GB2312" w:eastAsia="仿宋_GB2312"/>
              </w:rPr>
              <w:t>4.1.2.5我的资产</w:t>
            </w:r>
          </w:p>
          <w:p>
            <w:pPr>
              <w:pStyle w:val="null3"/>
              <w:jc w:val="both"/>
            </w:pPr>
            <w:r>
              <w:rPr>
                <w:rFonts w:ascii="仿宋_GB2312" w:hAnsi="仿宋_GB2312" w:cs="仿宋_GB2312" w:eastAsia="仿宋_GB2312"/>
              </w:rPr>
              <w:t>需提供</w:t>
            </w:r>
            <w:r>
              <w:rPr>
                <w:rFonts w:ascii="仿宋_GB2312" w:hAnsi="仿宋_GB2312" w:cs="仿宋_GB2312" w:eastAsia="仿宋_GB2312"/>
              </w:rPr>
              <w:t>“我的资产”功能，支持用户查看其已分配的资产详情信息，可对资产发起变更申请与回收申请，填写相关申请信息后提交。需支持服务器资产维护应用清单与中间件依赖信息，应用和中间件需为已通过审批的申请内容，支持新增、修改与删除，并在更新后同步保存至资产信息中。</w:t>
            </w:r>
          </w:p>
          <w:p>
            <w:pPr>
              <w:pStyle w:val="null3"/>
              <w:jc w:val="both"/>
            </w:pPr>
            <w:r>
              <w:rPr>
                <w:rFonts w:ascii="仿宋_GB2312" w:hAnsi="仿宋_GB2312" w:cs="仿宋_GB2312" w:eastAsia="仿宋_GB2312"/>
              </w:rPr>
              <w:t>4.1.3漏洞管理</w:t>
            </w:r>
          </w:p>
          <w:p>
            <w:pPr>
              <w:pStyle w:val="null3"/>
              <w:jc w:val="both"/>
            </w:pPr>
            <w:r>
              <w:rPr>
                <w:rFonts w:ascii="仿宋_GB2312" w:hAnsi="仿宋_GB2312" w:cs="仿宋_GB2312" w:eastAsia="仿宋_GB2312"/>
              </w:rPr>
              <w:t>4.1.3.1漏洞发布</w:t>
            </w:r>
          </w:p>
          <w:p>
            <w:pPr>
              <w:pStyle w:val="null3"/>
              <w:jc w:val="both"/>
            </w:pPr>
            <w:r>
              <w:rPr>
                <w:rFonts w:ascii="仿宋_GB2312" w:hAnsi="仿宋_GB2312" w:cs="仿宋_GB2312" w:eastAsia="仿宋_GB2312"/>
              </w:rPr>
              <w:t>需提供漏洞发布功能，支持管理员新增、编辑及查看漏洞信息。</w:t>
            </w:r>
          </w:p>
          <w:p>
            <w:pPr>
              <w:pStyle w:val="null3"/>
              <w:jc w:val="both"/>
            </w:pPr>
            <w:r>
              <w:rPr>
                <w:rFonts w:ascii="仿宋_GB2312" w:hAnsi="仿宋_GB2312" w:cs="仿宋_GB2312" w:eastAsia="仿宋_GB2312"/>
              </w:rPr>
              <w:t>需支持漏洞信息的保存与展示，支持漏洞列表展示。</w:t>
            </w:r>
          </w:p>
          <w:p>
            <w:pPr>
              <w:pStyle w:val="null3"/>
              <w:jc w:val="both"/>
            </w:pPr>
            <w:r>
              <w:rPr>
                <w:rFonts w:ascii="仿宋_GB2312" w:hAnsi="仿宋_GB2312" w:cs="仿宋_GB2312" w:eastAsia="仿宋_GB2312"/>
              </w:rPr>
              <w:t>4.1.3.2漏洞统计</w:t>
            </w:r>
          </w:p>
          <w:p>
            <w:pPr>
              <w:pStyle w:val="null3"/>
              <w:jc w:val="both"/>
            </w:pPr>
            <w:r>
              <w:rPr>
                <w:rFonts w:ascii="仿宋_GB2312" w:hAnsi="仿宋_GB2312" w:cs="仿宋_GB2312" w:eastAsia="仿宋_GB2312"/>
              </w:rPr>
              <w:t>需提供漏洞统计功能，支持用户查看其名下资产中存在的漏洞信息。用户可通过漏洞统计页面浏览漏洞列表，需支持查看具体漏洞内容，漏洞内容包括但不限于漏洞名称、漏洞版本、软件名称、软件版本、归属人、归属机构、发现时间、解决时间、漏洞说明、修复说明等。</w:t>
            </w:r>
          </w:p>
          <w:p>
            <w:pPr>
              <w:pStyle w:val="null3"/>
              <w:jc w:val="both"/>
            </w:pPr>
            <w:r>
              <w:rPr>
                <w:rFonts w:ascii="仿宋_GB2312" w:hAnsi="仿宋_GB2312" w:cs="仿宋_GB2312" w:eastAsia="仿宋_GB2312"/>
              </w:rPr>
              <w:t>4.2互联互通测评支撑</w:t>
            </w:r>
          </w:p>
          <w:p>
            <w:pPr>
              <w:pStyle w:val="null3"/>
              <w:jc w:val="both"/>
            </w:pPr>
            <w:r>
              <w:rPr>
                <w:rFonts w:ascii="仿宋_GB2312" w:hAnsi="仿宋_GB2312" w:cs="仿宋_GB2312" w:eastAsia="仿宋_GB2312"/>
              </w:rPr>
              <w:t>供应商需依托陕西省全民健康信息平台数据枢纽，实现</w:t>
            </w:r>
            <w:r>
              <w:rPr>
                <w:rFonts w:ascii="仿宋_GB2312" w:hAnsi="仿宋_GB2312" w:cs="仿宋_GB2312" w:eastAsia="仿宋_GB2312"/>
              </w:rPr>
              <w:t>陕西省中医医院、西北妇女儿童医院、陕西省肿瘤医院、陕西省第二人民医院、陕西省结核病防治院、西安交通大学第二附属医院、西北大学第一医院、西安医学院第一附属医院、西安医学院第二附属医院、西安医学院第三附属医院、西电集团医院、陕西省康复医院</w:t>
            </w:r>
            <w:r>
              <w:rPr>
                <w:rFonts w:ascii="仿宋_GB2312" w:hAnsi="仿宋_GB2312" w:cs="仿宋_GB2312" w:eastAsia="仿宋_GB2312"/>
              </w:rPr>
              <w:t>CDA共享文档的共享调阅，</w:t>
            </w:r>
            <w:r>
              <w:rPr>
                <w:rFonts w:ascii="仿宋_GB2312" w:hAnsi="仿宋_GB2312" w:cs="仿宋_GB2312" w:eastAsia="仿宋_GB2312"/>
              </w:rPr>
              <w:t>满足互联互通测评要求</w:t>
            </w:r>
            <w:r>
              <w:rPr>
                <w:rFonts w:ascii="仿宋_GB2312" w:hAnsi="仿宋_GB2312" w:cs="仿宋_GB2312" w:eastAsia="仿宋_GB2312"/>
              </w:rPr>
              <w:t>。</w:t>
            </w:r>
          </w:p>
          <w:p>
            <w:pPr>
              <w:pStyle w:val="null3"/>
              <w:jc w:val="both"/>
            </w:pPr>
            <w:r>
              <w:rPr>
                <w:rFonts w:ascii="仿宋_GB2312" w:hAnsi="仿宋_GB2312" w:cs="仿宋_GB2312" w:eastAsia="仿宋_GB2312"/>
              </w:rPr>
              <w:t>4.2.1CDA文档共享中心</w:t>
            </w:r>
            <w:r>
              <w:rPr>
                <w:rFonts w:ascii="仿宋_GB2312" w:hAnsi="仿宋_GB2312" w:cs="仿宋_GB2312" w:eastAsia="仿宋_GB2312"/>
              </w:rPr>
              <w:t>文档类型扩充</w:t>
            </w:r>
          </w:p>
          <w:p>
            <w:pPr>
              <w:pStyle w:val="null3"/>
              <w:jc w:val="both"/>
            </w:pPr>
            <w:r>
              <w:rPr>
                <w:rFonts w:ascii="仿宋_GB2312" w:hAnsi="仿宋_GB2312" w:cs="仿宋_GB2312" w:eastAsia="仿宋_GB2312"/>
              </w:rPr>
              <w:t>目前</w:t>
            </w:r>
            <w:r>
              <w:rPr>
                <w:rFonts w:ascii="仿宋_GB2312" w:hAnsi="仿宋_GB2312" w:cs="仿宋_GB2312" w:eastAsia="仿宋_GB2312"/>
              </w:rPr>
              <w:t xml:space="preserve">CDA文档共享中心支持病历概要、门（急）诊病历、一般手术记录、麻醉记录、输血记录、待产记录、一般护理记录、高值耗材使用记录、入院评估、住院病案首页、入院记录、住院病程记录 术后首次病程记录、住院病程记录 出院记录，为满足医疗机构不同类型CDA共享文档的调阅，供应商需基于CDA文档共享中心，按照《WS/T 500-2016 </w:t>
            </w:r>
            <w:r>
              <w:rPr>
                <w:rFonts w:ascii="仿宋_GB2312" w:hAnsi="仿宋_GB2312" w:cs="仿宋_GB2312" w:eastAsia="仿宋_GB2312"/>
              </w:rPr>
              <w:t>电子病历共享文档规范</w:t>
            </w:r>
            <w:r>
              <w:rPr>
                <w:rFonts w:ascii="仿宋_GB2312" w:hAnsi="仿宋_GB2312" w:cs="仿宋_GB2312" w:eastAsia="仿宋_GB2312"/>
              </w:rPr>
              <w:t>》新增</w:t>
            </w:r>
            <w:r>
              <w:rPr>
                <w:rFonts w:ascii="仿宋_GB2312" w:hAnsi="仿宋_GB2312" w:cs="仿宋_GB2312" w:eastAsia="仿宋_GB2312"/>
              </w:rPr>
              <w:t>40类CDA共享文档调阅。</w:t>
            </w:r>
          </w:p>
          <w:p>
            <w:pPr>
              <w:pStyle w:val="null3"/>
              <w:jc w:val="both"/>
            </w:pPr>
            <w:r>
              <w:rPr>
                <w:rFonts w:ascii="仿宋_GB2312" w:hAnsi="仿宋_GB2312" w:cs="仿宋_GB2312" w:eastAsia="仿宋_GB2312"/>
              </w:rPr>
              <w:t>1）急诊留观病历</w:t>
            </w:r>
          </w:p>
          <w:p>
            <w:pPr>
              <w:pStyle w:val="null3"/>
              <w:jc w:val="both"/>
            </w:pPr>
            <w:r>
              <w:rPr>
                <w:rFonts w:ascii="仿宋_GB2312" w:hAnsi="仿宋_GB2312" w:cs="仿宋_GB2312" w:eastAsia="仿宋_GB2312"/>
              </w:rPr>
              <w:t>2）西药处方</w:t>
            </w:r>
          </w:p>
          <w:p>
            <w:pPr>
              <w:pStyle w:val="null3"/>
              <w:jc w:val="both"/>
            </w:pPr>
            <w:r>
              <w:rPr>
                <w:rFonts w:ascii="仿宋_GB2312" w:hAnsi="仿宋_GB2312" w:cs="仿宋_GB2312" w:eastAsia="仿宋_GB2312"/>
              </w:rPr>
              <w:t>3）中药处方</w:t>
            </w:r>
          </w:p>
          <w:p>
            <w:pPr>
              <w:pStyle w:val="null3"/>
              <w:jc w:val="both"/>
            </w:pPr>
            <w:r>
              <w:rPr>
                <w:rFonts w:ascii="仿宋_GB2312" w:hAnsi="仿宋_GB2312" w:cs="仿宋_GB2312" w:eastAsia="仿宋_GB2312"/>
              </w:rPr>
              <w:t>4）检查报告；</w:t>
            </w:r>
          </w:p>
          <w:p>
            <w:pPr>
              <w:pStyle w:val="null3"/>
              <w:jc w:val="both"/>
            </w:pPr>
            <w:r>
              <w:rPr>
                <w:rFonts w:ascii="仿宋_GB2312" w:hAnsi="仿宋_GB2312" w:cs="仿宋_GB2312" w:eastAsia="仿宋_GB2312"/>
              </w:rPr>
              <w:t>5）检验报告；</w:t>
            </w:r>
          </w:p>
          <w:p>
            <w:pPr>
              <w:pStyle w:val="null3"/>
              <w:jc w:val="both"/>
            </w:pPr>
            <w:r>
              <w:rPr>
                <w:rFonts w:ascii="仿宋_GB2312" w:hAnsi="仿宋_GB2312" w:cs="仿宋_GB2312" w:eastAsia="仿宋_GB2312"/>
              </w:rPr>
              <w:t>6）治疗记录；</w:t>
            </w:r>
          </w:p>
          <w:p>
            <w:pPr>
              <w:pStyle w:val="null3"/>
              <w:jc w:val="both"/>
            </w:pPr>
            <w:r>
              <w:rPr>
                <w:rFonts w:ascii="仿宋_GB2312" w:hAnsi="仿宋_GB2312" w:cs="仿宋_GB2312" w:eastAsia="仿宋_GB2312"/>
              </w:rPr>
              <w:t>7）麻醉术前访视记录；</w:t>
            </w:r>
          </w:p>
          <w:p>
            <w:pPr>
              <w:pStyle w:val="null3"/>
              <w:jc w:val="both"/>
            </w:pPr>
            <w:r>
              <w:rPr>
                <w:rFonts w:ascii="仿宋_GB2312" w:hAnsi="仿宋_GB2312" w:cs="仿宋_GB2312" w:eastAsia="仿宋_GB2312"/>
              </w:rPr>
              <w:t>8）麻醉术后访视记录；</w:t>
            </w:r>
          </w:p>
          <w:p>
            <w:pPr>
              <w:pStyle w:val="null3"/>
              <w:jc w:val="both"/>
            </w:pPr>
            <w:r>
              <w:rPr>
                <w:rFonts w:ascii="仿宋_GB2312" w:hAnsi="仿宋_GB2312" w:cs="仿宋_GB2312" w:eastAsia="仿宋_GB2312"/>
              </w:rPr>
              <w:t>9）阴道分娩记录；</w:t>
            </w:r>
          </w:p>
          <w:p>
            <w:pPr>
              <w:pStyle w:val="null3"/>
              <w:jc w:val="both"/>
            </w:pPr>
            <w:r>
              <w:rPr>
                <w:rFonts w:ascii="仿宋_GB2312" w:hAnsi="仿宋_GB2312" w:cs="仿宋_GB2312" w:eastAsia="仿宋_GB2312"/>
              </w:rPr>
              <w:t>10）剖宫产记录；</w:t>
            </w:r>
          </w:p>
          <w:p>
            <w:pPr>
              <w:pStyle w:val="null3"/>
              <w:jc w:val="both"/>
            </w:pPr>
            <w:r>
              <w:rPr>
                <w:rFonts w:ascii="仿宋_GB2312" w:hAnsi="仿宋_GB2312" w:cs="仿宋_GB2312" w:eastAsia="仿宋_GB2312"/>
              </w:rPr>
              <w:t>11）病重（病危）护理记录；</w:t>
            </w:r>
          </w:p>
          <w:p>
            <w:pPr>
              <w:pStyle w:val="null3"/>
              <w:jc w:val="both"/>
            </w:pPr>
            <w:r>
              <w:rPr>
                <w:rFonts w:ascii="仿宋_GB2312" w:hAnsi="仿宋_GB2312" w:cs="仿宋_GB2312" w:eastAsia="仿宋_GB2312"/>
              </w:rPr>
              <w:t>12）手术护理记录；</w:t>
            </w:r>
          </w:p>
          <w:p>
            <w:pPr>
              <w:pStyle w:val="null3"/>
              <w:jc w:val="both"/>
            </w:pPr>
            <w:r>
              <w:rPr>
                <w:rFonts w:ascii="仿宋_GB2312" w:hAnsi="仿宋_GB2312" w:cs="仿宋_GB2312" w:eastAsia="仿宋_GB2312"/>
              </w:rPr>
              <w:t>13）生命体征测量记录；</w:t>
            </w:r>
          </w:p>
          <w:p>
            <w:pPr>
              <w:pStyle w:val="null3"/>
              <w:jc w:val="both"/>
            </w:pPr>
            <w:r>
              <w:rPr>
                <w:rFonts w:ascii="仿宋_GB2312" w:hAnsi="仿宋_GB2312" w:cs="仿宋_GB2312" w:eastAsia="仿宋_GB2312"/>
              </w:rPr>
              <w:t>14）出入量记录；</w:t>
            </w:r>
          </w:p>
          <w:p>
            <w:pPr>
              <w:pStyle w:val="null3"/>
              <w:jc w:val="both"/>
            </w:pPr>
            <w:r>
              <w:rPr>
                <w:rFonts w:ascii="仿宋_GB2312" w:hAnsi="仿宋_GB2312" w:cs="仿宋_GB2312" w:eastAsia="仿宋_GB2312"/>
              </w:rPr>
              <w:t>15）护理计划；</w:t>
            </w:r>
          </w:p>
          <w:p>
            <w:pPr>
              <w:pStyle w:val="null3"/>
              <w:jc w:val="both"/>
            </w:pPr>
            <w:r>
              <w:rPr>
                <w:rFonts w:ascii="仿宋_GB2312" w:hAnsi="仿宋_GB2312" w:cs="仿宋_GB2312" w:eastAsia="仿宋_GB2312"/>
              </w:rPr>
              <w:t>16）出院评估与指导；</w:t>
            </w:r>
          </w:p>
          <w:p>
            <w:pPr>
              <w:pStyle w:val="null3"/>
              <w:jc w:val="both"/>
            </w:pPr>
            <w:r>
              <w:rPr>
                <w:rFonts w:ascii="仿宋_GB2312" w:hAnsi="仿宋_GB2312" w:cs="仿宋_GB2312" w:eastAsia="仿宋_GB2312"/>
              </w:rPr>
              <w:t>17）手术知情同意书；</w:t>
            </w:r>
          </w:p>
          <w:p>
            <w:pPr>
              <w:pStyle w:val="null3"/>
              <w:jc w:val="both"/>
            </w:pPr>
            <w:r>
              <w:rPr>
                <w:rFonts w:ascii="仿宋_GB2312" w:hAnsi="仿宋_GB2312" w:cs="仿宋_GB2312" w:eastAsia="仿宋_GB2312"/>
              </w:rPr>
              <w:t>18）麻醉知情同意书；</w:t>
            </w:r>
          </w:p>
          <w:p>
            <w:pPr>
              <w:pStyle w:val="null3"/>
              <w:jc w:val="both"/>
            </w:pPr>
            <w:r>
              <w:rPr>
                <w:rFonts w:ascii="仿宋_GB2312" w:hAnsi="仿宋_GB2312" w:cs="仿宋_GB2312" w:eastAsia="仿宋_GB2312"/>
              </w:rPr>
              <w:t>19）输血治疗同意书；</w:t>
            </w:r>
          </w:p>
          <w:p>
            <w:pPr>
              <w:pStyle w:val="null3"/>
              <w:jc w:val="both"/>
            </w:pPr>
            <w:r>
              <w:rPr>
                <w:rFonts w:ascii="仿宋_GB2312" w:hAnsi="仿宋_GB2312" w:cs="仿宋_GB2312" w:eastAsia="仿宋_GB2312"/>
              </w:rPr>
              <w:t>20）特殊检查及特殊治疗同意书；</w:t>
            </w:r>
          </w:p>
          <w:p>
            <w:pPr>
              <w:pStyle w:val="null3"/>
              <w:jc w:val="both"/>
            </w:pPr>
            <w:r>
              <w:rPr>
                <w:rFonts w:ascii="仿宋_GB2312" w:hAnsi="仿宋_GB2312" w:cs="仿宋_GB2312" w:eastAsia="仿宋_GB2312"/>
              </w:rPr>
              <w:t>21）病危（重）通知书；</w:t>
            </w:r>
          </w:p>
          <w:p>
            <w:pPr>
              <w:pStyle w:val="null3"/>
              <w:jc w:val="both"/>
            </w:pPr>
            <w:r>
              <w:rPr>
                <w:rFonts w:ascii="仿宋_GB2312" w:hAnsi="仿宋_GB2312" w:cs="仿宋_GB2312" w:eastAsia="仿宋_GB2312"/>
              </w:rPr>
              <w:t>22）其他知情同意书；</w:t>
            </w:r>
          </w:p>
          <w:p>
            <w:pPr>
              <w:pStyle w:val="null3"/>
              <w:jc w:val="both"/>
            </w:pPr>
            <w:r>
              <w:rPr>
                <w:rFonts w:ascii="仿宋_GB2312" w:hAnsi="仿宋_GB2312" w:cs="仿宋_GB2312" w:eastAsia="仿宋_GB2312"/>
              </w:rPr>
              <w:t>23）中医住院病案首页；</w:t>
            </w:r>
          </w:p>
          <w:p>
            <w:pPr>
              <w:pStyle w:val="null3"/>
              <w:jc w:val="both"/>
            </w:pPr>
            <w:r>
              <w:rPr>
                <w:rFonts w:ascii="仿宋_GB2312" w:hAnsi="仿宋_GB2312" w:cs="仿宋_GB2312" w:eastAsia="仿宋_GB2312"/>
              </w:rPr>
              <w:t>24）24小时内入出院记录；</w:t>
            </w:r>
          </w:p>
          <w:p>
            <w:pPr>
              <w:pStyle w:val="null3"/>
              <w:jc w:val="both"/>
            </w:pPr>
            <w:r>
              <w:rPr>
                <w:rFonts w:ascii="仿宋_GB2312" w:hAnsi="仿宋_GB2312" w:cs="仿宋_GB2312" w:eastAsia="仿宋_GB2312"/>
              </w:rPr>
              <w:t>25）24小时内入院死亡记录；</w:t>
            </w:r>
          </w:p>
          <w:p>
            <w:pPr>
              <w:pStyle w:val="null3"/>
              <w:jc w:val="both"/>
            </w:pPr>
            <w:r>
              <w:rPr>
                <w:rFonts w:ascii="仿宋_GB2312" w:hAnsi="仿宋_GB2312" w:cs="仿宋_GB2312" w:eastAsia="仿宋_GB2312"/>
              </w:rPr>
              <w:t>26）住院病程记录　首次病程记录；</w:t>
            </w:r>
          </w:p>
          <w:p>
            <w:pPr>
              <w:pStyle w:val="null3"/>
              <w:jc w:val="both"/>
            </w:pPr>
            <w:r>
              <w:rPr>
                <w:rFonts w:ascii="仿宋_GB2312" w:hAnsi="仿宋_GB2312" w:cs="仿宋_GB2312" w:eastAsia="仿宋_GB2312"/>
              </w:rPr>
              <w:t>27）住院病程记录　日常病程记录；</w:t>
            </w:r>
          </w:p>
          <w:p>
            <w:pPr>
              <w:pStyle w:val="null3"/>
              <w:jc w:val="both"/>
            </w:pPr>
            <w:r>
              <w:rPr>
                <w:rFonts w:ascii="仿宋_GB2312" w:hAnsi="仿宋_GB2312" w:cs="仿宋_GB2312" w:eastAsia="仿宋_GB2312"/>
              </w:rPr>
              <w:t>28）住院病程记录　上级医师查房记录；</w:t>
            </w:r>
          </w:p>
          <w:p>
            <w:pPr>
              <w:pStyle w:val="null3"/>
              <w:jc w:val="both"/>
            </w:pPr>
            <w:r>
              <w:rPr>
                <w:rFonts w:ascii="仿宋_GB2312" w:hAnsi="仿宋_GB2312" w:cs="仿宋_GB2312" w:eastAsia="仿宋_GB2312"/>
              </w:rPr>
              <w:t>29）住院病程记录　疑难病例讨论记录；</w:t>
            </w:r>
          </w:p>
          <w:p>
            <w:pPr>
              <w:pStyle w:val="null3"/>
              <w:jc w:val="both"/>
            </w:pPr>
            <w:r>
              <w:rPr>
                <w:rFonts w:ascii="仿宋_GB2312" w:hAnsi="仿宋_GB2312" w:cs="仿宋_GB2312" w:eastAsia="仿宋_GB2312"/>
              </w:rPr>
              <w:t>30）住院病程记录　交接班记录；</w:t>
            </w:r>
          </w:p>
          <w:p>
            <w:pPr>
              <w:pStyle w:val="null3"/>
              <w:jc w:val="both"/>
            </w:pPr>
            <w:r>
              <w:rPr>
                <w:rFonts w:ascii="仿宋_GB2312" w:hAnsi="仿宋_GB2312" w:cs="仿宋_GB2312" w:eastAsia="仿宋_GB2312"/>
              </w:rPr>
              <w:t>31）住院病程记录　转科记录；</w:t>
            </w:r>
          </w:p>
          <w:p>
            <w:pPr>
              <w:pStyle w:val="null3"/>
              <w:jc w:val="both"/>
            </w:pPr>
            <w:r>
              <w:rPr>
                <w:rFonts w:ascii="仿宋_GB2312" w:hAnsi="仿宋_GB2312" w:cs="仿宋_GB2312" w:eastAsia="仿宋_GB2312"/>
              </w:rPr>
              <w:t>32）住院病程记录　阶段小结；</w:t>
            </w:r>
          </w:p>
          <w:p>
            <w:pPr>
              <w:pStyle w:val="null3"/>
              <w:jc w:val="both"/>
            </w:pPr>
            <w:r>
              <w:rPr>
                <w:rFonts w:ascii="仿宋_GB2312" w:hAnsi="仿宋_GB2312" w:cs="仿宋_GB2312" w:eastAsia="仿宋_GB2312"/>
              </w:rPr>
              <w:t>33）住院病程记录　抢救记录；</w:t>
            </w:r>
          </w:p>
          <w:p>
            <w:pPr>
              <w:pStyle w:val="null3"/>
              <w:jc w:val="both"/>
            </w:pPr>
            <w:r>
              <w:rPr>
                <w:rFonts w:ascii="仿宋_GB2312" w:hAnsi="仿宋_GB2312" w:cs="仿宋_GB2312" w:eastAsia="仿宋_GB2312"/>
              </w:rPr>
              <w:t>34）住院病程记录　会诊记录；</w:t>
            </w:r>
          </w:p>
          <w:p>
            <w:pPr>
              <w:pStyle w:val="null3"/>
              <w:jc w:val="both"/>
            </w:pPr>
            <w:r>
              <w:rPr>
                <w:rFonts w:ascii="仿宋_GB2312" w:hAnsi="仿宋_GB2312" w:cs="仿宋_GB2312" w:eastAsia="仿宋_GB2312"/>
              </w:rPr>
              <w:t>35）住院病程记录　术前小结；</w:t>
            </w:r>
          </w:p>
          <w:p>
            <w:pPr>
              <w:pStyle w:val="null3"/>
              <w:jc w:val="both"/>
            </w:pPr>
            <w:r>
              <w:rPr>
                <w:rFonts w:ascii="仿宋_GB2312" w:hAnsi="仿宋_GB2312" w:cs="仿宋_GB2312" w:eastAsia="仿宋_GB2312"/>
              </w:rPr>
              <w:t>36）住院病程记录　术前讨论；</w:t>
            </w:r>
          </w:p>
          <w:p>
            <w:pPr>
              <w:pStyle w:val="null3"/>
              <w:jc w:val="both"/>
            </w:pPr>
            <w:r>
              <w:rPr>
                <w:rFonts w:ascii="仿宋_GB2312" w:hAnsi="仿宋_GB2312" w:cs="仿宋_GB2312" w:eastAsia="仿宋_GB2312"/>
              </w:rPr>
              <w:t>37）住院病程记录　死亡记录；</w:t>
            </w:r>
          </w:p>
          <w:p>
            <w:pPr>
              <w:pStyle w:val="null3"/>
              <w:jc w:val="both"/>
            </w:pPr>
            <w:r>
              <w:rPr>
                <w:rFonts w:ascii="仿宋_GB2312" w:hAnsi="仿宋_GB2312" w:cs="仿宋_GB2312" w:eastAsia="仿宋_GB2312"/>
              </w:rPr>
              <w:t>38）住院病程记录　死亡病例讨论记录；</w:t>
            </w:r>
          </w:p>
          <w:p>
            <w:pPr>
              <w:pStyle w:val="null3"/>
              <w:jc w:val="both"/>
            </w:pPr>
            <w:r>
              <w:rPr>
                <w:rFonts w:ascii="仿宋_GB2312" w:hAnsi="仿宋_GB2312" w:cs="仿宋_GB2312" w:eastAsia="仿宋_GB2312"/>
              </w:rPr>
              <w:t>39）住院医嘱；</w:t>
            </w:r>
          </w:p>
          <w:p>
            <w:pPr>
              <w:pStyle w:val="null3"/>
              <w:jc w:val="both"/>
            </w:pPr>
            <w:r>
              <w:rPr>
                <w:rFonts w:ascii="仿宋_GB2312" w:hAnsi="仿宋_GB2312" w:cs="仿宋_GB2312" w:eastAsia="仿宋_GB2312"/>
              </w:rPr>
              <w:t>40）出院小结。</w:t>
            </w:r>
          </w:p>
          <w:p>
            <w:pPr>
              <w:pStyle w:val="null3"/>
              <w:jc w:val="both"/>
            </w:pPr>
            <w:r>
              <w:rPr>
                <w:rFonts w:ascii="仿宋_GB2312" w:hAnsi="仿宋_GB2312" w:cs="仿宋_GB2312" w:eastAsia="仿宋_GB2312"/>
              </w:rPr>
              <w:t>4.2.2CDA文档共享中心对接联调服务</w:t>
            </w:r>
          </w:p>
          <w:p>
            <w:pPr>
              <w:pStyle w:val="null3"/>
              <w:jc w:val="both"/>
            </w:pPr>
            <w:r>
              <w:rPr>
                <w:rFonts w:ascii="仿宋_GB2312" w:hAnsi="仿宋_GB2312" w:cs="仿宋_GB2312" w:eastAsia="仿宋_GB2312"/>
              </w:rPr>
              <w:t>供应商需基于</w:t>
            </w:r>
            <w:r>
              <w:rPr>
                <w:rFonts w:ascii="仿宋_GB2312" w:hAnsi="仿宋_GB2312" w:cs="仿宋_GB2312" w:eastAsia="仿宋_GB2312"/>
              </w:rPr>
              <w:t>CDA文档共享中心，完成医疗机构CDA共享文档的对接联调工作，实现CDA共享文档的采集、解析及调阅。具体要求如下：</w:t>
            </w:r>
          </w:p>
          <w:p>
            <w:pPr>
              <w:pStyle w:val="null3"/>
              <w:jc w:val="both"/>
            </w:pPr>
            <w:r>
              <w:rPr>
                <w:rFonts w:ascii="仿宋_GB2312" w:hAnsi="仿宋_GB2312" w:cs="仿宋_GB2312" w:eastAsia="仿宋_GB2312"/>
              </w:rPr>
              <w:t>1、服务范围</w:t>
            </w:r>
          </w:p>
          <w:p>
            <w:pPr>
              <w:pStyle w:val="null3"/>
              <w:jc w:val="both"/>
            </w:pPr>
            <w:r>
              <w:rPr>
                <w:rFonts w:ascii="仿宋_GB2312" w:hAnsi="仿宋_GB2312" w:cs="仿宋_GB2312" w:eastAsia="仿宋_GB2312"/>
              </w:rPr>
              <w:t>包括陕西省中医医院、西北妇女儿童医院、陕西省肿瘤医院、陕西省第二人民医院、陕西省结核病防治院、西安交通大学第二附属医院、西北大学第一医院、西安医学院第一附属医院、西安医学院第二附属医院、西安医学院第三附属医院、西电集团医院、陕西省康复医院。</w:t>
            </w:r>
          </w:p>
          <w:p>
            <w:pPr>
              <w:pStyle w:val="null3"/>
              <w:jc w:val="both"/>
            </w:pPr>
            <w:r>
              <w:rPr>
                <w:rFonts w:ascii="仿宋_GB2312" w:hAnsi="仿宋_GB2312" w:cs="仿宋_GB2312" w:eastAsia="仿宋_GB2312"/>
              </w:rPr>
              <w:t>2、服务要求</w:t>
            </w:r>
          </w:p>
          <w:p>
            <w:pPr>
              <w:pStyle w:val="null3"/>
              <w:jc w:val="both"/>
            </w:pPr>
            <w:r>
              <w:rPr>
                <w:rFonts w:ascii="仿宋_GB2312" w:hAnsi="仿宋_GB2312" w:cs="仿宋_GB2312" w:eastAsia="仿宋_GB2312"/>
              </w:rPr>
              <w:t>（</w:t>
            </w:r>
            <w:r>
              <w:rPr>
                <w:rFonts w:ascii="仿宋_GB2312" w:hAnsi="仿宋_GB2312" w:cs="仿宋_GB2312" w:eastAsia="仿宋_GB2312"/>
              </w:rPr>
              <w:t>1）共享文档注册与提交对接联调</w:t>
            </w:r>
          </w:p>
          <w:p>
            <w:pPr>
              <w:pStyle w:val="null3"/>
              <w:jc w:val="both"/>
            </w:pPr>
            <w:r>
              <w:rPr>
                <w:rFonts w:ascii="仿宋_GB2312" w:hAnsi="仿宋_GB2312" w:cs="仿宋_GB2312" w:eastAsia="仿宋_GB2312"/>
              </w:rPr>
              <w:t>供应商需按照《陕西省全民健康信息平台</w:t>
            </w:r>
            <w:r>
              <w:rPr>
                <w:rFonts w:ascii="仿宋_GB2312" w:hAnsi="仿宋_GB2312" w:cs="仿宋_GB2312" w:eastAsia="仿宋_GB2312"/>
              </w:rPr>
              <w:t>_接口规范_CDA共享文档服务接口规范_V1.2》配合医疗机构完成共享文档注册与提交。具体要求如下：</w:t>
            </w:r>
          </w:p>
          <w:p>
            <w:pPr>
              <w:pStyle w:val="null3"/>
              <w:jc w:val="both"/>
            </w:pPr>
            <w:r>
              <w:rPr>
                <w:rFonts w:ascii="仿宋_GB2312" w:hAnsi="仿宋_GB2312" w:cs="仿宋_GB2312" w:eastAsia="仿宋_GB2312"/>
              </w:rPr>
              <w:t>1）联调服务：需协助医疗机构开展接口全流程测试，涵盖文档注册/提交、校验等服务。</w:t>
            </w:r>
          </w:p>
          <w:p>
            <w:pPr>
              <w:pStyle w:val="null3"/>
              <w:jc w:val="both"/>
            </w:pPr>
            <w:r>
              <w:rPr>
                <w:rFonts w:ascii="仿宋_GB2312" w:hAnsi="仿宋_GB2312" w:cs="仿宋_GB2312" w:eastAsia="仿宋_GB2312"/>
              </w:rPr>
              <w:t>2）共享文档查询和统计服务：提供提交文档查询、统计文档提交数量、按文档类型统计数量等服务等。</w:t>
            </w:r>
          </w:p>
          <w:p>
            <w:pPr>
              <w:pStyle w:val="null3"/>
              <w:jc w:val="both"/>
            </w:pPr>
            <w:r>
              <w:rPr>
                <w:rFonts w:ascii="仿宋_GB2312" w:hAnsi="仿宋_GB2312" w:cs="仿宋_GB2312" w:eastAsia="仿宋_GB2312"/>
              </w:rPr>
              <w:t>（</w:t>
            </w:r>
            <w:r>
              <w:rPr>
                <w:rFonts w:ascii="仿宋_GB2312" w:hAnsi="仿宋_GB2312" w:cs="仿宋_GB2312" w:eastAsia="仿宋_GB2312"/>
              </w:rPr>
              <w:t>2）共享文档解析对接联调</w:t>
            </w:r>
          </w:p>
          <w:p>
            <w:pPr>
              <w:pStyle w:val="null3"/>
              <w:jc w:val="both"/>
            </w:pPr>
            <w:r>
              <w:rPr>
                <w:rFonts w:ascii="仿宋_GB2312" w:hAnsi="仿宋_GB2312" w:cs="仿宋_GB2312" w:eastAsia="仿宋_GB2312"/>
              </w:rPr>
              <w:t>供应商需基于</w:t>
            </w:r>
            <w:r>
              <w:rPr>
                <w:rFonts w:ascii="仿宋_GB2312" w:hAnsi="仿宋_GB2312" w:cs="仿宋_GB2312" w:eastAsia="仿宋_GB2312"/>
              </w:rPr>
              <w:t>CDA文档共享中心文档解析模块，对医疗机构提交的共享文档进行解析测试。具体要求如下：</w:t>
            </w:r>
          </w:p>
          <w:p>
            <w:pPr>
              <w:pStyle w:val="null3"/>
              <w:jc w:val="both"/>
            </w:pPr>
            <w:r>
              <w:rPr>
                <w:rFonts w:ascii="仿宋_GB2312" w:hAnsi="仿宋_GB2312" w:cs="仿宋_GB2312" w:eastAsia="仿宋_GB2312"/>
              </w:rPr>
              <w:t>1）</w:t>
            </w:r>
            <w:r>
              <w:rPr>
                <w:rFonts w:ascii="仿宋_GB2312" w:hAnsi="仿宋_GB2312" w:cs="仿宋_GB2312" w:eastAsia="仿宋_GB2312"/>
              </w:rPr>
              <w:t>联调测试要求：使用医疗机构提供的真实</w:t>
            </w:r>
            <w:r>
              <w:rPr>
                <w:rFonts w:ascii="仿宋_GB2312" w:hAnsi="仿宋_GB2312" w:cs="仿宋_GB2312" w:eastAsia="仿宋_GB2312"/>
              </w:rPr>
              <w:t>CDA 文档样本进行解析测试。</w:t>
            </w:r>
          </w:p>
          <w:p>
            <w:pPr>
              <w:pStyle w:val="null3"/>
              <w:jc w:val="both"/>
            </w:pPr>
            <w:r>
              <w:rPr>
                <w:rFonts w:ascii="仿宋_GB2312" w:hAnsi="仿宋_GB2312" w:cs="仿宋_GB2312" w:eastAsia="仿宋_GB2312"/>
              </w:rPr>
              <w:t>2）培训要求：为医疗机构提供解析模块的使用培训，确保其技术人员能够独立完成日常维护和基础故障排查。</w:t>
            </w:r>
          </w:p>
          <w:p>
            <w:pPr>
              <w:pStyle w:val="null3"/>
              <w:jc w:val="both"/>
            </w:pPr>
            <w:r>
              <w:rPr>
                <w:rFonts w:ascii="仿宋_GB2312" w:hAnsi="仿宋_GB2312" w:cs="仿宋_GB2312" w:eastAsia="仿宋_GB2312"/>
              </w:rPr>
              <w:t>（</w:t>
            </w:r>
            <w:r>
              <w:rPr>
                <w:rFonts w:ascii="仿宋_GB2312" w:hAnsi="仿宋_GB2312" w:cs="仿宋_GB2312" w:eastAsia="仿宋_GB2312"/>
              </w:rPr>
              <w:t>3）共享文档调阅对接联调</w:t>
            </w:r>
          </w:p>
          <w:p>
            <w:pPr>
              <w:pStyle w:val="null3"/>
              <w:jc w:val="both"/>
            </w:pPr>
            <w:r>
              <w:rPr>
                <w:rFonts w:ascii="仿宋_GB2312" w:hAnsi="仿宋_GB2312" w:cs="仿宋_GB2312" w:eastAsia="仿宋_GB2312"/>
              </w:rPr>
              <w:t>基于</w:t>
            </w:r>
            <w:r>
              <w:rPr>
                <w:rFonts w:ascii="仿宋_GB2312" w:hAnsi="仿宋_GB2312" w:cs="仿宋_GB2312" w:eastAsia="仿宋_GB2312"/>
              </w:rPr>
              <w:t>CDA共享文档中心共享文档调阅模块，实现医疗机构医生站调阅本机构和其他机构共享文档。具体要求如下：</w:t>
            </w:r>
          </w:p>
          <w:p>
            <w:pPr>
              <w:pStyle w:val="null3"/>
              <w:jc w:val="both"/>
            </w:pPr>
            <w:r>
              <w:rPr>
                <w:rFonts w:ascii="仿宋_GB2312" w:hAnsi="仿宋_GB2312" w:cs="仿宋_GB2312" w:eastAsia="仿宋_GB2312"/>
              </w:rPr>
              <w:t>配合医疗机构信息化厂商，完成医生工作站与</w:t>
            </w:r>
            <w:r>
              <w:rPr>
                <w:rFonts w:ascii="仿宋_GB2312" w:hAnsi="仿宋_GB2312" w:cs="仿宋_GB2312" w:eastAsia="仿宋_GB2312"/>
              </w:rPr>
              <w:t>CDA共享文档中心文档调阅模块的对接，验证医生通过工作站检索、预览患者的 CDA 共享文档，测试不同类型文档的展示完整性。</w:t>
            </w:r>
          </w:p>
          <w:p>
            <w:pPr>
              <w:pStyle w:val="null3"/>
              <w:jc w:val="both"/>
            </w:pPr>
            <w:r>
              <w:rPr>
                <w:rFonts w:ascii="仿宋_GB2312" w:hAnsi="仿宋_GB2312" w:cs="仿宋_GB2312" w:eastAsia="仿宋_GB2312"/>
              </w:rPr>
              <w:t>（</w:t>
            </w:r>
            <w:r>
              <w:rPr>
                <w:rFonts w:ascii="仿宋_GB2312" w:hAnsi="仿宋_GB2312" w:cs="仿宋_GB2312" w:eastAsia="仿宋_GB2312"/>
              </w:rPr>
              <w:t>4）共享文档调阅授权服务对接联调</w:t>
            </w:r>
          </w:p>
          <w:p>
            <w:pPr>
              <w:pStyle w:val="null3"/>
              <w:jc w:val="both"/>
            </w:pPr>
            <w:r>
              <w:rPr>
                <w:rFonts w:ascii="仿宋_GB2312" w:hAnsi="仿宋_GB2312" w:cs="仿宋_GB2312" w:eastAsia="仿宋_GB2312"/>
              </w:rPr>
              <w:t>供应商需配合医疗机构信息化厂商进行共享文档调阅授权服务的对接联调，确保医生站调阅患者</w:t>
            </w:r>
            <w:r>
              <w:rPr>
                <w:rFonts w:ascii="仿宋_GB2312" w:hAnsi="仿宋_GB2312" w:cs="仿宋_GB2312" w:eastAsia="仿宋_GB2312"/>
              </w:rPr>
              <w:t>CDA共享文档经过患者的授权。具体要求如下：</w:t>
            </w:r>
          </w:p>
          <w:p>
            <w:pPr>
              <w:pStyle w:val="null3"/>
              <w:jc w:val="both"/>
            </w:pPr>
            <w:r>
              <w:rPr>
                <w:rFonts w:ascii="仿宋_GB2312" w:hAnsi="仿宋_GB2312" w:cs="仿宋_GB2312" w:eastAsia="仿宋_GB2312"/>
              </w:rPr>
              <w:t>1）验证医生站发起调阅请求时，系统自动调用授权服务接口校验患者授权状态，若未授权则禁止调阅。</w:t>
            </w:r>
          </w:p>
          <w:p>
            <w:pPr>
              <w:pStyle w:val="null3"/>
              <w:jc w:val="both"/>
            </w:pPr>
            <w:r>
              <w:rPr>
                <w:rFonts w:ascii="仿宋_GB2312" w:hAnsi="仿宋_GB2312" w:cs="仿宋_GB2312" w:eastAsia="仿宋_GB2312"/>
              </w:rPr>
              <w:t>2）配合测试患者进行授权后，医生站能否实时获取最新授权状态。</w:t>
            </w:r>
          </w:p>
          <w:p>
            <w:pPr>
              <w:pStyle w:val="null3"/>
              <w:jc w:val="both"/>
            </w:pPr>
            <w:r>
              <w:rPr>
                <w:rFonts w:ascii="仿宋_GB2312" w:hAnsi="仿宋_GB2312" w:cs="仿宋_GB2312" w:eastAsia="仿宋_GB2312"/>
              </w:rPr>
              <w:t>4.2.3医疗机构互联互通测评文审资料支撑工作</w:t>
            </w:r>
          </w:p>
          <w:p>
            <w:pPr>
              <w:pStyle w:val="null3"/>
              <w:jc w:val="both"/>
            </w:pPr>
            <w:r>
              <w:rPr>
                <w:rFonts w:ascii="仿宋_GB2312" w:hAnsi="仿宋_GB2312" w:cs="仿宋_GB2312" w:eastAsia="仿宋_GB2312"/>
              </w:rPr>
              <w:t>配合医疗机构互联互通测评文审资料的相关准备工作，提供电子病历共享文档与陕西省全民健康信息平台进行交互的相关证明资料。</w:t>
            </w:r>
          </w:p>
          <w:p>
            <w:pPr>
              <w:pStyle w:val="null3"/>
              <w:jc w:val="both"/>
            </w:pPr>
            <w:r>
              <w:rPr>
                <w:rFonts w:ascii="仿宋_GB2312" w:hAnsi="仿宋_GB2312" w:cs="仿宋_GB2312" w:eastAsia="仿宋_GB2312"/>
              </w:rPr>
              <w:t>4.3数据治理服务</w:t>
            </w:r>
          </w:p>
          <w:p>
            <w:pPr>
              <w:pStyle w:val="null3"/>
              <w:jc w:val="both"/>
            </w:pPr>
            <w:r>
              <w:rPr>
                <w:rFonts w:ascii="仿宋_GB2312" w:hAnsi="仿宋_GB2312" w:cs="仿宋_GB2312" w:eastAsia="仿宋_GB2312"/>
              </w:rPr>
              <w:t>随着全民健康信息平台数据共享交换枢纽的建设不断完善，已完成对陕西省互联网医疗服务监管平台、病原微生物实验室备案管理系统、陕西省老龄工作管理信息系统、陕西省妇幼保健平台等</w:t>
            </w:r>
            <w:r>
              <w:rPr>
                <w:rFonts w:ascii="仿宋_GB2312" w:hAnsi="仿宋_GB2312" w:cs="仿宋_GB2312" w:eastAsia="仿宋_GB2312"/>
              </w:rPr>
              <w:t>21个业务系统的对接，累计汇聚数据约7.4亿条。同时已对接陕西省人民医院、交大一附院、交大口腔医院等3家医疗机构，采集电子病历88.4万份。目前数据仍在持续接入中，供应商需依托已建成的数据治理中心模块（包括标准管理、数据质量管理等），系统开展数据治理服务，提升平台数据规范性、一致性与可用性。</w:t>
            </w:r>
          </w:p>
          <w:p>
            <w:pPr>
              <w:pStyle w:val="null3"/>
              <w:jc w:val="both"/>
            </w:pPr>
            <w:r>
              <w:rPr>
                <w:rFonts w:ascii="仿宋_GB2312" w:hAnsi="仿宋_GB2312" w:cs="仿宋_GB2312" w:eastAsia="仿宋_GB2312"/>
              </w:rPr>
              <w:t>4.3.1标准管理服务要求</w:t>
            </w:r>
          </w:p>
          <w:p>
            <w:pPr>
              <w:pStyle w:val="null3"/>
              <w:jc w:val="both"/>
            </w:pPr>
            <w:r>
              <w:rPr>
                <w:rFonts w:ascii="仿宋_GB2312" w:hAnsi="仿宋_GB2312" w:cs="仿宋_GB2312" w:eastAsia="仿宋_GB2312"/>
              </w:rPr>
              <w:t>供应商应基于全民健康信息平台数据共享交换枢纽标准管理系统，提供标准管理服务，具体要求如下：</w:t>
            </w:r>
          </w:p>
          <w:p>
            <w:pPr>
              <w:pStyle w:val="null3"/>
              <w:jc w:val="both"/>
            </w:pPr>
            <w:r>
              <w:rPr>
                <w:rFonts w:ascii="仿宋_GB2312" w:hAnsi="仿宋_GB2312" w:cs="仿宋_GB2312" w:eastAsia="仿宋_GB2312"/>
              </w:rPr>
              <w:t>1、需依据国家和省级卫生健康领域数据标准规范，维护并动态更新数据共享交换枢纽相关标准规范。</w:t>
            </w:r>
          </w:p>
          <w:p>
            <w:pPr>
              <w:pStyle w:val="null3"/>
              <w:jc w:val="both"/>
            </w:pPr>
            <w:r>
              <w:rPr>
                <w:rFonts w:ascii="仿宋_GB2312" w:hAnsi="仿宋_GB2312" w:cs="仿宋_GB2312" w:eastAsia="仿宋_GB2312"/>
              </w:rPr>
              <w:t>2、需对现有已接入系统的数据项进行标准一致性校验，形成差异项比对报告与整改建议。</w:t>
            </w:r>
          </w:p>
          <w:p>
            <w:pPr>
              <w:pStyle w:val="null3"/>
              <w:jc w:val="both"/>
            </w:pPr>
            <w:r>
              <w:rPr>
                <w:rFonts w:ascii="仿宋_GB2312" w:hAnsi="仿宋_GB2312" w:cs="仿宋_GB2312" w:eastAsia="仿宋_GB2312"/>
              </w:rPr>
              <w:t>3、需提供覆盖数据接入单位的标准规范指导服务，内容应涵盖陕西省全民健康信息平台相关健康信息标准、数据质量要求等。确保各级业务和技术人员准确理解并掌握数据标准规范。</w:t>
            </w:r>
          </w:p>
          <w:p>
            <w:pPr>
              <w:pStyle w:val="null3"/>
              <w:jc w:val="both"/>
            </w:pPr>
            <w:r>
              <w:rPr>
                <w:rFonts w:ascii="仿宋_GB2312" w:hAnsi="仿宋_GB2312" w:cs="仿宋_GB2312" w:eastAsia="仿宋_GB2312"/>
              </w:rPr>
              <w:t>4.3.2数据质量控制要求</w:t>
            </w:r>
          </w:p>
          <w:p>
            <w:pPr>
              <w:pStyle w:val="null3"/>
              <w:jc w:val="both"/>
            </w:pPr>
            <w:r>
              <w:rPr>
                <w:rFonts w:ascii="仿宋_GB2312" w:hAnsi="仿宋_GB2312" w:cs="仿宋_GB2312" w:eastAsia="仿宋_GB2312"/>
              </w:rPr>
              <w:t>供应商应基于全民健康信息平台数据共享交换枢纽数据质量控制系统，提供数据质控服务，具体要求如下：</w:t>
            </w:r>
          </w:p>
          <w:p>
            <w:pPr>
              <w:pStyle w:val="null3"/>
              <w:jc w:val="both"/>
            </w:pPr>
            <w:r>
              <w:rPr>
                <w:rFonts w:ascii="仿宋_GB2312" w:hAnsi="仿宋_GB2312" w:cs="仿宋_GB2312" w:eastAsia="仿宋_GB2312"/>
              </w:rPr>
              <w:t>1、数据质量现状调研与诊断</w:t>
            </w:r>
          </w:p>
          <w:p>
            <w:pPr>
              <w:pStyle w:val="null3"/>
              <w:jc w:val="both"/>
            </w:pPr>
            <w:r>
              <w:rPr>
                <w:rFonts w:ascii="仿宋_GB2312" w:hAnsi="仿宋_GB2312" w:cs="仿宋_GB2312" w:eastAsia="仿宋_GB2312"/>
              </w:rPr>
              <w:t>供应商需对现有数据进行全面质量现状调研和分析，识别数据完整性、一致性、规范性、及时性等方面的主要问题，提交调研诊断报告及改进建议。</w:t>
            </w:r>
          </w:p>
          <w:p>
            <w:pPr>
              <w:pStyle w:val="null3"/>
              <w:jc w:val="both"/>
            </w:pPr>
            <w:r>
              <w:rPr>
                <w:rFonts w:ascii="仿宋_GB2312" w:hAnsi="仿宋_GB2312" w:cs="仿宋_GB2312" w:eastAsia="仿宋_GB2312"/>
              </w:rPr>
              <w:t>2、数据质量规则完善与应用</w:t>
            </w:r>
          </w:p>
          <w:p>
            <w:pPr>
              <w:pStyle w:val="null3"/>
              <w:jc w:val="both"/>
            </w:pPr>
            <w:r>
              <w:rPr>
                <w:rFonts w:ascii="仿宋_GB2312" w:hAnsi="仿宋_GB2312" w:cs="仿宋_GB2312" w:eastAsia="仿宋_GB2312"/>
              </w:rPr>
              <w:t>供应商需根据平台数据标准和业务需求，协助完善和优化数据质量控制规则，制定具体的质量考核指标和校验规则，确保规则在系统中的有效应用和动态调整。</w:t>
            </w:r>
          </w:p>
          <w:p>
            <w:pPr>
              <w:pStyle w:val="null3"/>
              <w:jc w:val="both"/>
            </w:pPr>
            <w:r>
              <w:rPr>
                <w:rFonts w:ascii="仿宋_GB2312" w:hAnsi="仿宋_GB2312" w:cs="仿宋_GB2312" w:eastAsia="仿宋_GB2312"/>
              </w:rPr>
              <w:t>3、数据质量检测与异常处理</w:t>
            </w:r>
          </w:p>
          <w:p>
            <w:pPr>
              <w:pStyle w:val="null3"/>
              <w:jc w:val="both"/>
            </w:pPr>
            <w:r>
              <w:rPr>
                <w:rFonts w:ascii="仿宋_GB2312" w:hAnsi="仿宋_GB2312" w:cs="仿宋_GB2312" w:eastAsia="仿宋_GB2312"/>
              </w:rPr>
              <w:t>供应商需定期进行数据质量检测，发现并整理异常数据，协助数据提供方开展数据清理、修正工作，保障数据上传的准确性和完整性。</w:t>
            </w:r>
          </w:p>
          <w:p>
            <w:pPr>
              <w:pStyle w:val="null3"/>
              <w:jc w:val="both"/>
            </w:pPr>
            <w:r>
              <w:rPr>
                <w:rFonts w:ascii="仿宋_GB2312" w:hAnsi="仿宋_GB2312" w:cs="仿宋_GB2312" w:eastAsia="仿宋_GB2312"/>
              </w:rPr>
              <w:t>4、数据质量反馈与整改闭环管理</w:t>
            </w:r>
          </w:p>
          <w:p>
            <w:pPr>
              <w:pStyle w:val="null3"/>
              <w:jc w:val="both"/>
            </w:pPr>
            <w:r>
              <w:rPr>
                <w:rFonts w:ascii="仿宋_GB2312" w:hAnsi="仿宋_GB2312" w:cs="仿宋_GB2312" w:eastAsia="仿宋_GB2312"/>
              </w:rPr>
              <w:t>供应商需建立数据质量问题反馈机制，及时通报异常情况，协助制定整改方案并跟踪整改效果，确保质量问题得到有效解决并持续优化。</w:t>
            </w:r>
          </w:p>
          <w:p>
            <w:pPr>
              <w:pStyle w:val="null3"/>
              <w:jc w:val="both"/>
            </w:pPr>
            <w:r>
              <w:rPr>
                <w:rFonts w:ascii="仿宋_GB2312" w:hAnsi="仿宋_GB2312" w:cs="仿宋_GB2312" w:eastAsia="仿宋_GB2312"/>
              </w:rPr>
              <w:t>5、数据质量监测与考核报告</w:t>
            </w:r>
          </w:p>
          <w:p>
            <w:pPr>
              <w:pStyle w:val="null3"/>
              <w:jc w:val="both"/>
            </w:pPr>
            <w:r>
              <w:rPr>
                <w:rFonts w:ascii="仿宋_GB2312" w:hAnsi="仿宋_GB2312" w:cs="仿宋_GB2312" w:eastAsia="仿宋_GB2312"/>
              </w:rPr>
              <w:t>供应商需依托质量控制系统，生成定期数据质量监测报告和考核报告，支持多维度质量指标展示，配合采购人进行数据质量评估和考核。</w:t>
            </w:r>
          </w:p>
          <w:p>
            <w:pPr>
              <w:pStyle w:val="null3"/>
              <w:jc w:val="both"/>
            </w:pPr>
            <w:r>
              <w:rPr>
                <w:rFonts w:ascii="仿宋_GB2312" w:hAnsi="仿宋_GB2312" w:cs="仿宋_GB2312" w:eastAsia="仿宋_GB2312"/>
              </w:rPr>
              <w:t>五、项目实施要求</w:t>
            </w:r>
          </w:p>
          <w:p>
            <w:pPr>
              <w:pStyle w:val="null3"/>
              <w:jc w:val="both"/>
            </w:pPr>
            <w:r>
              <w:rPr>
                <w:rFonts w:ascii="仿宋_GB2312" w:hAnsi="仿宋_GB2312" w:cs="仿宋_GB2312" w:eastAsia="仿宋_GB2312"/>
              </w:rPr>
              <w:t>5.1实施要求</w:t>
            </w:r>
          </w:p>
          <w:p>
            <w:pPr>
              <w:pStyle w:val="null3"/>
              <w:jc w:val="both"/>
            </w:pPr>
            <w:r>
              <w:rPr>
                <w:rFonts w:ascii="仿宋_GB2312" w:hAnsi="仿宋_GB2312" w:cs="仿宋_GB2312" w:eastAsia="仿宋_GB2312"/>
              </w:rPr>
              <w:t>1. 中标人需完成采购人委托开发的软件的需求、设计、编码、测试、安装、部署、集成、调试、培训、验收等工作；</w:t>
            </w:r>
          </w:p>
          <w:p>
            <w:pPr>
              <w:pStyle w:val="null3"/>
              <w:jc w:val="both"/>
            </w:pPr>
            <w:r>
              <w:rPr>
                <w:rFonts w:ascii="仿宋_GB2312" w:hAnsi="仿宋_GB2312" w:cs="仿宋_GB2312" w:eastAsia="仿宋_GB2312"/>
              </w:rPr>
              <w:t>2. 中标人需服从并配合采购人指定的第三方监理的工作督导，切实保障项目顺利实施。</w:t>
            </w:r>
          </w:p>
          <w:p>
            <w:pPr>
              <w:pStyle w:val="null3"/>
              <w:jc w:val="both"/>
            </w:pPr>
            <w:r>
              <w:rPr>
                <w:rFonts w:ascii="仿宋_GB2312" w:hAnsi="仿宋_GB2312" w:cs="仿宋_GB2312" w:eastAsia="仿宋_GB2312"/>
              </w:rPr>
              <w:t>5.2管理要求</w:t>
            </w:r>
          </w:p>
          <w:p>
            <w:pPr>
              <w:pStyle w:val="null3"/>
              <w:numPr>
                <w:ilvl w:val="0"/>
                <w:numId w:val="1"/>
              </w:numPr>
              <w:jc w:val="both"/>
            </w:pPr>
            <w:r>
              <w:rPr>
                <w:rFonts w:ascii="仿宋_GB2312" w:hAnsi="仿宋_GB2312" w:cs="仿宋_GB2312" w:eastAsia="仿宋_GB2312"/>
              </w:rPr>
              <w:t>供应商必须提供实施本项目的完整的项目管理方案，并在项目建设过程中严格执行。</w:t>
            </w:r>
          </w:p>
          <w:p>
            <w:pPr>
              <w:pStyle w:val="null3"/>
              <w:jc w:val="both"/>
            </w:pPr>
            <w:r>
              <w:rPr>
                <w:rFonts w:ascii="仿宋_GB2312" w:hAnsi="仿宋_GB2312" w:cs="仿宋_GB2312" w:eastAsia="仿宋_GB2312"/>
              </w:rPr>
              <w:t>2) 供应商在项目管理方案中，应充分体现供应商在项目管理方面的经验和能力以及对该项目管理的设想和具体方法，应包括但不限于以下几个方面内容：</w:t>
            </w:r>
          </w:p>
          <w:p>
            <w:pPr>
              <w:pStyle w:val="null3"/>
              <w:jc w:val="both"/>
            </w:pPr>
            <w:r>
              <w:rPr>
                <w:rFonts w:ascii="仿宋_GB2312" w:hAnsi="仿宋_GB2312" w:cs="仿宋_GB2312" w:eastAsia="仿宋_GB2312"/>
              </w:rPr>
              <w:t>√项目组；</w:t>
            </w:r>
          </w:p>
          <w:p>
            <w:pPr>
              <w:pStyle w:val="null3"/>
              <w:jc w:val="both"/>
            </w:pPr>
            <w:r>
              <w:rPr>
                <w:rFonts w:ascii="仿宋_GB2312" w:hAnsi="仿宋_GB2312" w:cs="仿宋_GB2312" w:eastAsia="仿宋_GB2312"/>
              </w:rPr>
              <w:t>为本项目提供稳定的系统开发技术团队，涵盖项目管理、开发、实施等人员；</w:t>
            </w:r>
          </w:p>
          <w:p>
            <w:pPr>
              <w:pStyle w:val="null3"/>
              <w:jc w:val="both"/>
            </w:pPr>
            <w:r>
              <w:rPr>
                <w:rFonts w:ascii="仿宋_GB2312" w:hAnsi="仿宋_GB2312" w:cs="仿宋_GB2312" w:eastAsia="仿宋_GB2312"/>
              </w:rPr>
              <w:t>项目经理，项目组成员及项目组织结构</w:t>
            </w:r>
            <w:r>
              <w:rPr>
                <w:rFonts w:ascii="仿宋_GB2312" w:hAnsi="仿宋_GB2312" w:cs="仿宋_GB2312" w:eastAsia="仿宋_GB2312"/>
              </w:rPr>
              <w:t>,其中项目经理必须选派有丰富经验和组织能力的人员担当，并且项目经理未得到用户方同意的情况下不得随意调换；</w:t>
            </w:r>
          </w:p>
          <w:p>
            <w:pPr>
              <w:pStyle w:val="null3"/>
              <w:jc w:val="both"/>
            </w:pPr>
            <w:r>
              <w:rPr>
                <w:rFonts w:ascii="仿宋_GB2312" w:hAnsi="仿宋_GB2312" w:cs="仿宋_GB2312" w:eastAsia="仿宋_GB2312"/>
              </w:rPr>
              <w:t>项目组成员除基本信息外，必须说明专业背景、项目中的角色及项目经验等；</w:t>
            </w:r>
          </w:p>
          <w:p>
            <w:pPr>
              <w:pStyle w:val="null3"/>
              <w:jc w:val="both"/>
            </w:pPr>
            <w:r>
              <w:rPr>
                <w:rFonts w:ascii="仿宋_GB2312" w:hAnsi="仿宋_GB2312" w:cs="仿宋_GB2312" w:eastAsia="仿宋_GB2312"/>
              </w:rPr>
              <w:t>√组织管理；</w:t>
            </w:r>
          </w:p>
          <w:p>
            <w:pPr>
              <w:pStyle w:val="null3"/>
              <w:jc w:val="both"/>
            </w:pPr>
            <w:r>
              <w:rPr>
                <w:rFonts w:ascii="仿宋_GB2312" w:hAnsi="仿宋_GB2312" w:cs="仿宋_GB2312" w:eastAsia="仿宋_GB2312"/>
              </w:rPr>
              <w:t>√项目实施计划；</w:t>
            </w:r>
          </w:p>
          <w:p>
            <w:pPr>
              <w:pStyle w:val="null3"/>
              <w:jc w:val="both"/>
            </w:pPr>
            <w:r>
              <w:rPr>
                <w:rFonts w:ascii="仿宋_GB2312" w:hAnsi="仿宋_GB2312" w:cs="仿宋_GB2312" w:eastAsia="仿宋_GB2312"/>
              </w:rPr>
              <w:t>√质量控制办法；</w:t>
            </w:r>
          </w:p>
          <w:p>
            <w:pPr>
              <w:pStyle w:val="null3"/>
              <w:jc w:val="both"/>
            </w:pPr>
            <w:r>
              <w:rPr>
                <w:rFonts w:ascii="仿宋_GB2312" w:hAnsi="仿宋_GB2312" w:cs="仿宋_GB2312" w:eastAsia="仿宋_GB2312"/>
              </w:rPr>
              <w:t>√应急处置方案；</w:t>
            </w:r>
          </w:p>
          <w:p>
            <w:pPr>
              <w:pStyle w:val="null3"/>
              <w:jc w:val="both"/>
            </w:pPr>
            <w:r>
              <w:rPr>
                <w:rFonts w:ascii="仿宋_GB2312" w:hAnsi="仿宋_GB2312" w:cs="仿宋_GB2312" w:eastAsia="仿宋_GB2312"/>
              </w:rPr>
              <w:t>5.3人员培训要求</w:t>
            </w:r>
          </w:p>
          <w:p>
            <w:pPr>
              <w:pStyle w:val="null3"/>
              <w:jc w:val="both"/>
            </w:pPr>
            <w:r>
              <w:rPr>
                <w:rFonts w:ascii="仿宋_GB2312" w:hAnsi="仿宋_GB2312" w:cs="仿宋_GB2312" w:eastAsia="仿宋_GB2312"/>
              </w:rPr>
              <w:t>人员培训是本项目建设的一个重要组成部分。在项目的不同阶段要求供应商提供相关的培训课程，面向不同群体提供系统化、定制化和有针对性的培训。</w:t>
            </w:r>
          </w:p>
          <w:p>
            <w:pPr>
              <w:pStyle w:val="null3"/>
              <w:jc w:val="both"/>
            </w:pPr>
            <w:r>
              <w:rPr>
                <w:rFonts w:ascii="仿宋_GB2312" w:hAnsi="仿宋_GB2312" w:cs="仿宋_GB2312" w:eastAsia="仿宋_GB2312"/>
              </w:rPr>
              <w:t>1. 供应商应为本项目提供详细的培训方案，培训内容应针对系统开发和管理、系统运行与维护管理、用户使用等分类进行。通过培训应使各类用户能独立进行相应应用与管理、故障处理、日常维护等工作，确保系统能正常安全运行；</w:t>
            </w:r>
          </w:p>
          <w:p>
            <w:pPr>
              <w:pStyle w:val="null3"/>
              <w:jc w:val="both"/>
            </w:pPr>
            <w:r>
              <w:rPr>
                <w:rFonts w:ascii="仿宋_GB2312" w:hAnsi="仿宋_GB2312" w:cs="仿宋_GB2312" w:eastAsia="仿宋_GB2312"/>
              </w:rPr>
              <w:t>2. 供应商应在投标文件中提出培训计划，计划包括培训项目、对象、内容和方式等详细内容；</w:t>
            </w:r>
          </w:p>
          <w:p>
            <w:pPr>
              <w:pStyle w:val="null3"/>
              <w:jc w:val="both"/>
            </w:pPr>
            <w:r>
              <w:rPr>
                <w:rFonts w:ascii="仿宋_GB2312" w:hAnsi="仿宋_GB2312" w:cs="仿宋_GB2312" w:eastAsia="仿宋_GB2312"/>
              </w:rPr>
              <w:t>3. 培训人员必须是供应商的正式雇员或专业的授权培训机构雇员，并应具备相应的培训经验。</w:t>
            </w:r>
          </w:p>
          <w:p>
            <w:pPr>
              <w:pStyle w:val="null3"/>
              <w:jc w:val="both"/>
            </w:pPr>
            <w:r>
              <w:rPr>
                <w:rFonts w:ascii="仿宋_GB2312" w:hAnsi="仿宋_GB2312" w:cs="仿宋_GB2312" w:eastAsia="仿宋_GB2312"/>
              </w:rPr>
              <w:t>5.4文档要求</w:t>
            </w:r>
          </w:p>
          <w:p>
            <w:pPr>
              <w:pStyle w:val="null3"/>
              <w:jc w:val="both"/>
            </w:pPr>
            <w:r>
              <w:rPr>
                <w:rFonts w:ascii="仿宋_GB2312" w:hAnsi="仿宋_GB2312" w:cs="仿宋_GB2312" w:eastAsia="仿宋_GB2312"/>
              </w:rPr>
              <w:t>系统开发应严格按照国家软件工程规范进行，中标人必须根据开发进度及时提供用户纸质和电子文档各一套，包括但不限于：</w:t>
            </w:r>
          </w:p>
          <w:p>
            <w:pPr>
              <w:pStyle w:val="null3"/>
              <w:jc w:val="both"/>
            </w:pPr>
            <w:r>
              <w:rPr>
                <w:rFonts w:ascii="仿宋_GB2312" w:hAnsi="仿宋_GB2312" w:cs="仿宋_GB2312" w:eastAsia="仿宋_GB2312"/>
              </w:rPr>
              <w:t>1) 准备阶段：《调研记录和报告》、《系统开发实施计划》；</w:t>
            </w:r>
          </w:p>
          <w:p>
            <w:pPr>
              <w:pStyle w:val="null3"/>
              <w:jc w:val="both"/>
            </w:pPr>
            <w:r>
              <w:rPr>
                <w:rFonts w:ascii="仿宋_GB2312" w:hAnsi="仿宋_GB2312" w:cs="仿宋_GB2312" w:eastAsia="仿宋_GB2312"/>
              </w:rPr>
              <w:t>2) 过程文档：《培训计划》、《培训记录》、《例会记录》；</w:t>
            </w:r>
          </w:p>
          <w:p>
            <w:pPr>
              <w:pStyle w:val="null3"/>
              <w:jc w:val="both"/>
            </w:pPr>
            <w:r>
              <w:rPr>
                <w:rFonts w:ascii="仿宋_GB2312" w:hAnsi="仿宋_GB2312" w:cs="仿宋_GB2312" w:eastAsia="仿宋_GB2312"/>
              </w:rPr>
              <w:t>3) 交付使用：《系统安装维护手册》、《用户操作手册》、《数据接口标准》；</w:t>
            </w:r>
          </w:p>
          <w:p>
            <w:pPr>
              <w:pStyle w:val="null3"/>
              <w:jc w:val="both"/>
            </w:pPr>
            <w:r>
              <w:rPr>
                <w:rFonts w:ascii="仿宋_GB2312" w:hAnsi="仿宋_GB2312" w:cs="仿宋_GB2312" w:eastAsia="仿宋_GB2312"/>
              </w:rPr>
              <w:t>4) 与工程相关的其他文档。</w:t>
            </w:r>
          </w:p>
          <w:p>
            <w:pPr>
              <w:pStyle w:val="null3"/>
              <w:jc w:val="both"/>
            </w:pPr>
            <w:r>
              <w:rPr>
                <w:rFonts w:ascii="仿宋_GB2312" w:hAnsi="仿宋_GB2312" w:cs="仿宋_GB2312" w:eastAsia="仿宋_GB2312"/>
              </w:rPr>
              <w:t>5.5售后技术服务要求</w:t>
            </w:r>
          </w:p>
          <w:p>
            <w:pPr>
              <w:pStyle w:val="null3"/>
              <w:jc w:val="both"/>
            </w:pPr>
            <w:r>
              <w:rPr>
                <w:rFonts w:ascii="仿宋_GB2312" w:hAnsi="仿宋_GB2312" w:cs="仿宋_GB2312" w:eastAsia="仿宋_GB2312"/>
              </w:rPr>
              <w:t>1. 供应商需对本次招标采购的应用系统提供1年运维升级服务，自项目验收之日起；</w:t>
            </w:r>
          </w:p>
          <w:p>
            <w:pPr>
              <w:pStyle w:val="null3"/>
              <w:jc w:val="both"/>
            </w:pPr>
            <w:r>
              <w:rPr>
                <w:rFonts w:ascii="仿宋_GB2312" w:hAnsi="仿宋_GB2312" w:cs="仿宋_GB2312" w:eastAsia="仿宋_GB2312"/>
              </w:rPr>
              <w:t>2. 供应商必须保证本项目相关应用系统运行的日常监控，及时发现和排除故障，保证一线技术支持人员7×24小时的售后服务；</w:t>
            </w:r>
          </w:p>
          <w:p>
            <w:pPr>
              <w:pStyle w:val="null3"/>
              <w:jc w:val="both"/>
            </w:pPr>
            <w:r>
              <w:rPr>
                <w:rFonts w:ascii="仿宋_GB2312" w:hAnsi="仿宋_GB2312" w:cs="仿宋_GB2312" w:eastAsia="仿宋_GB2312"/>
              </w:rPr>
              <w:t>3. 供应商在响应文件中必须明确承诺达到用户的服务响应要求：运维期内提供7×24小时响应服务；重大故障应在接到通知后2小时内响应，一般故障应在接到通知后5小时内响应；</w:t>
            </w:r>
          </w:p>
          <w:p>
            <w:pPr>
              <w:pStyle w:val="null3"/>
              <w:jc w:val="both"/>
            </w:pPr>
            <w:r>
              <w:rPr>
                <w:rFonts w:ascii="仿宋_GB2312" w:hAnsi="仿宋_GB2312" w:cs="仿宋_GB2312" w:eastAsia="仿宋_GB2312"/>
              </w:rPr>
              <w:t>4. 质保维护期间，所有保修维护方式均由供应商上门服务，即由供应商到用户使用现场维护。由此产生的一切费用均由供应商承担；供应商需承诺安排 1 名及以上有丰富项目实施经验的技术人员驻场提供服务。</w:t>
            </w:r>
          </w:p>
          <w:p>
            <w:pPr>
              <w:pStyle w:val="null3"/>
              <w:jc w:val="both"/>
            </w:pPr>
            <w:r>
              <w:rPr>
                <w:rFonts w:ascii="仿宋_GB2312" w:hAnsi="仿宋_GB2312" w:cs="仿宋_GB2312" w:eastAsia="仿宋_GB2312"/>
                <w:sz w:val="21"/>
              </w:rPr>
              <w:t>5. 在运维期结束前，须进行一次全面检查，任何缺陷必须由供应商负责调试完善，在完善之后，项目实施方应将缺陷原因、完善内容、完成及恢复正常的时间和日期等报告给业主。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自合同签订后6个月内完成本项目的开发、部署、实施工作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陕西省卫生健康信息中心指定地点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供应商应开具等额发票。因供应商迟延开票，采购人有权拒不付款且不承担任何责任。合同签订后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根据采购文件、响应文件及合同约定执行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响应文件封面 标的清单 报价表 分项价格表.docx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服务期限满足竞争性磋商文件最低要求(合格)，服务期限不满足竞争性磋商文件最低要求(不合格)</w:t>
            </w:r>
          </w:p>
        </w:tc>
        <w:tc>
          <w:tcPr>
            <w:tcW w:type="dxa" w:w="1661"/>
          </w:tcPr>
          <w:p>
            <w:pPr>
              <w:pStyle w:val="null3"/>
            </w:pPr>
            <w:r>
              <w:rPr>
                <w:rFonts w:ascii="仿宋_GB2312" w:hAnsi="仿宋_GB2312" w:cs="仿宋_GB2312" w:eastAsia="仿宋_GB2312"/>
              </w:rPr>
              <w:t>响应文件封面 商务应答表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服务内容及服务邀请应答表 商务应答表 标的清单 报价表 响应函 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响应文件响应有效期符合竞争性磋商文件要求的(合格)，响应文件无响应有效期或有效期达不到竞争性磋商文件要求的(不合格)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响应文件封面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响应文件内容符合竞争性磋商文件服务内容及要求（合格），响应文件内容不符合竞争性磋商文件服务内容及要求（不合格）</w:t>
            </w:r>
          </w:p>
        </w:tc>
        <w:tc>
          <w:tcPr>
            <w:tcW w:type="dxa" w:w="1661"/>
          </w:tcPr>
          <w:p>
            <w:pPr>
              <w:pStyle w:val="null3"/>
            </w:pPr>
            <w:r>
              <w:rPr>
                <w:rFonts w:ascii="仿宋_GB2312" w:hAnsi="仿宋_GB2312" w:cs="仿宋_GB2312" w:eastAsia="仿宋_GB2312"/>
              </w:rPr>
              <w:t>响应文件封面 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响应文件封面 供应商认为有必要说明的其他问题.docx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对供应商根据对本项目建设背景、目标、相关政策了解情况，出具项目理解进行评分：对本项目的解读清晰、准确，理解深度和准确性高得6分； 对本项目背景的解读基本准确，理解具有一定的深度和准确性得4分； 对本项目背景的解读基本准确，理解缺乏深度和准确性的，得3分； 对本项目背景的解读不够清晰、明确，理解缺乏深度和准确性的，得2分； 对本项目背景的解读存在重大缺漏或理解缺乏深度和准确性的，得1分； 未提供或理解偏差过大得0分。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项目关键性技术、重点难点的解决方案</w:t>
            </w:r>
          </w:p>
        </w:tc>
        <w:tc>
          <w:tcPr>
            <w:tcW w:type="dxa" w:w="2492"/>
          </w:tcPr>
          <w:p>
            <w:pPr>
              <w:pStyle w:val="null3"/>
            </w:pPr>
            <w:r>
              <w:rPr>
                <w:rFonts w:ascii="仿宋_GB2312" w:hAnsi="仿宋_GB2312" w:cs="仿宋_GB2312" w:eastAsia="仿宋_GB2312"/>
              </w:rPr>
              <w:t>根据供应商对本项目的关键性技术、重点难点的解决方案进行评分: ①信息化资产管理系统；②互联互通测评支撑；③、数据治理服务充分依托现有全民健康信息平台数据共享交换枢纽。三项重点部分建设内容展开描述，每个部分最高得5分，具体评审如下： 针对本项目关键技术、重点、难点的解决方案技术路线正确、科学合理、完善、全面、具体、有亮点、可行性强，得5分； 针对本项目关键技术、重点、难点的解决方案技术路线正确科学合理、完善、全面、具体，得4分； 针对本项目关键技术、重点、难点的解决方案技术路线正确，全面但不具体、可行性一般，得3分； 针对本项目关键技术、重点、难点的解决方案不够完善、无亮点、缺乏可行性，得2分。 针对本项目关键技术、重点、难点的解决方案技术路线存在严重缺陷，或不具备可行性，全面性，得1分； 未提供或方案偏差过大得0分。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项目关键性技术、重点难点的解决方案.docx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供应商针对本项目制定详细的实施方案，包括但不限于：①项目计划进度安排、②质量保障、③文档管理、④风险控制、⑤验收方案。每项2分，满分10分， 实施方案存在1处瑕疵扣1分，扣完为止。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①针对本项目提供可行的技术培训方案，培训采购人指定的使用人员和管理人员，制定培训课程计划表， 培训内容应包括系统操作、排除简单故障等各个方面，培训的具体日期及人数由使用单位确定。培训方案详细合理，能够确保培训后的人员熟练操作，并能排除一般故障，满分5分，方案及承诺存在1处瑕疵扣1分，扣完为止。 ②提供完善的技术支持体系和售后服务保障措施，确保软件系统正常运转，提供详细的售后服务方案及售后服务承诺等， 满分5分， 方案及承诺存在1处瑕疵扣1分，扣完为止。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质量控制</w:t>
            </w:r>
          </w:p>
        </w:tc>
        <w:tc>
          <w:tcPr>
            <w:tcW w:type="dxa" w:w="2492"/>
          </w:tcPr>
          <w:p>
            <w:pPr>
              <w:pStyle w:val="null3"/>
            </w:pPr>
            <w:r>
              <w:rPr>
                <w:rFonts w:ascii="仿宋_GB2312" w:hAnsi="仿宋_GB2312" w:cs="仿宋_GB2312" w:eastAsia="仿宋_GB2312"/>
              </w:rPr>
              <w:t>针对本项目整体过程及成果有严格精准的质量控制体系，满分5分， 质量控制存在1处瑕疵扣1分，扣完为止。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质量控制.docx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供的应急方案及承诺，具有应对突发事件的相应功能，并提供具体操作内容及方式。应急方案包括但不限于①应急事件分类、②各类应急事件的完整处理流程、③业务恢复步骤、④业务恢复后数据处理方案、⑤应急总结，每项2分，满分10分； 方案及承诺存在1处瑕疵扣1分，扣完为止；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1、供应商承诺在陕西省全民健康信息平台数据交换枢纽基础上进行本项目的建设，确保不破坏陕西省全民健康信息平台现有架构和平台上各应用的稳定运行。提供承诺计2分，未提供不计分。 2、供应商承诺采购人在使用系统软件时，不承担任何涉及知识产权的追责，因使用未被授权使用的技术、组件等知识产权问题引起的纠纷均由供应商自行承担，采购人不承担因此产生的任何责任。提供承诺计2分，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具有信息系统项目管理师（高级）、软件设计师，以上同时具备的计4分，否则不计分。（需提供证书复印件及开标前一年内连续6个月本单位社保缴纳证明复印件）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项目经理.docx</w:t>
            </w:r>
          </w:p>
        </w:tc>
      </w:tr>
      <w:tr>
        <w:tc>
          <w:tcPr>
            <w:tcW w:type="dxa" w:w="831"/>
            <w:vMerge/>
          </w:tcPr>
          <w:p/>
        </w:tc>
        <w:tc>
          <w:tcPr>
            <w:tcW w:type="dxa" w:w="1661"/>
          </w:tcPr>
          <w:p>
            <w:pPr>
              <w:pStyle w:val="null3"/>
            </w:pPr>
            <w:r>
              <w:rPr>
                <w:rFonts w:ascii="仿宋_GB2312" w:hAnsi="仿宋_GB2312" w:cs="仿宋_GB2312" w:eastAsia="仿宋_GB2312"/>
              </w:rPr>
              <w:t>项目组成员</w:t>
            </w:r>
          </w:p>
        </w:tc>
        <w:tc>
          <w:tcPr>
            <w:tcW w:type="dxa" w:w="2492"/>
          </w:tcPr>
          <w:p>
            <w:pPr>
              <w:pStyle w:val="null3"/>
            </w:pPr>
            <w:r>
              <w:rPr>
                <w:rFonts w:ascii="仿宋_GB2312" w:hAnsi="仿宋_GB2312" w:cs="仿宋_GB2312" w:eastAsia="仿宋_GB2312"/>
              </w:rPr>
              <w:t>供应商拟派的项目组成员中具有网络工程师计2分； 具有数据库系统工程师计2分；项目数据分析师计2分；高级系统分析师计2分；高级系统架构设计师计2分；以上证书全部提供计10分，缺少一项扣2分，扣完为止。（响应文件需提供团队成员资格证书复印件及开标前一年内连续6个月本单位社保缴纳证明复印件。以上要求中提供多个同类证件只计2分；同一个人具备以上要求的多个资质证书的只计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项目组成员.docx</w:t>
            </w:r>
          </w:p>
        </w:tc>
      </w:tr>
      <w:tr>
        <w:tc>
          <w:tcPr>
            <w:tcW w:type="dxa" w:w="831"/>
            <w:vMerge/>
          </w:tcPr>
          <w:p/>
        </w:tc>
        <w:tc>
          <w:tcPr>
            <w:tcW w:type="dxa" w:w="1661"/>
          </w:tcPr>
          <w:p>
            <w:pPr>
              <w:pStyle w:val="null3"/>
            </w:pPr>
            <w:r>
              <w:rPr>
                <w:rFonts w:ascii="仿宋_GB2312" w:hAnsi="仿宋_GB2312" w:cs="仿宋_GB2312" w:eastAsia="仿宋_GB2312"/>
              </w:rPr>
              <w:t>组织架构及人员经历</w:t>
            </w:r>
          </w:p>
        </w:tc>
        <w:tc>
          <w:tcPr>
            <w:tcW w:type="dxa" w:w="2492"/>
          </w:tcPr>
          <w:p>
            <w:pPr>
              <w:pStyle w:val="null3"/>
            </w:pPr>
            <w:r>
              <w:rPr>
                <w:rFonts w:ascii="仿宋_GB2312" w:hAnsi="仿宋_GB2312" w:cs="仿宋_GB2312" w:eastAsia="仿宋_GB2312"/>
              </w:rPr>
              <w:t>针对本项目的①组织架构、岗位设置、职责分工②人员学历证明、项目经验，每项计2分，满分4分，组织架构、岗位设置、职责分工及人员学历证明、项目经验存在1处瑕疵扣1分，扣完为止； 备注：1、单项评审因素未提供或未响应的不计分。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响应文件需提供团队成员开标前一年内连续6个月本单位社保缴纳证明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组织架构及人员经历.docx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供应商具有ISO27001信息安全管理体系认证证书计1分； 供应商具有ISO20000 IT服务管理体系认证证书计1分。提供证书复印件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提供供应商2022年1月1日至今同类项目合同（以合同签订日期为准，附合同关键页及验收报告），每提供1个得2分，最高得10分。 备注：响应文件中提供合同复印件加盖公章。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价格分统一采用低价优先法计算，即满足磋商文件要求且价格最低的报价为磋商基准价，其价格分为满分。其他响应单位的价格分统一按照下列公式计算： 磋商报价得分=（评标基准价/磋商报价）×价格权值×100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分项价格表.docx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详见附件：项目关键性技术、重点难点的解决方案.docx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详见附件：质量控制.docx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详见附件：项目经理.docx</w:t>
      </w:r>
    </w:p>
    <w:p>
      <w:pPr>
        <w:pStyle w:val="null3"/>
        <w:ind w:firstLine="960"/>
      </w:pPr>
      <w:r>
        <w:rPr>
          <w:rFonts w:ascii="仿宋_GB2312" w:hAnsi="仿宋_GB2312" w:cs="仿宋_GB2312" w:eastAsia="仿宋_GB2312"/>
        </w:rPr>
        <w:t>详见附件：项目组成员.docx</w:t>
      </w:r>
    </w:p>
    <w:p>
      <w:pPr>
        <w:pStyle w:val="null3"/>
        <w:ind w:firstLine="960"/>
      </w:pPr>
      <w:r>
        <w:rPr>
          <w:rFonts w:ascii="仿宋_GB2312" w:hAnsi="仿宋_GB2312" w:cs="仿宋_GB2312" w:eastAsia="仿宋_GB2312"/>
        </w:rPr>
        <w:t>详见附件：组织架构及人员经历.docx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