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版本号：DRZB2025-ZC-12120250616001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开展传统广告宣传投放及代理项目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DRZB2025-ZC-121</w:t>
      </w:r>
      <w:r>
        <w:br/>
      </w:r>
      <w:r>
        <w:br/>
      </w:r>
      <w:r>
        <w:br/>
      </w:r>
    </w:p>
    <w:p>
      <w:pPr>
        <w:pStyle w:val="null3"/>
        <w:jc w:val="center"/>
        <w:outlineLvl w:val="2"/>
      </w:pPr>
      <w:r>
        <w:rPr>
          <w:rFonts w:ascii="仿宋_GB2312" w:hAnsi="仿宋_GB2312" w:cs="仿宋_GB2312" w:eastAsia="仿宋_GB2312"/>
          <w:sz w:val="28"/>
          <w:b/>
        </w:rPr>
        <w:t>陕西省福利彩票发行中心</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陕西省福利彩票发行中心</w:t>
      </w:r>
      <w:r>
        <w:rPr>
          <w:rFonts w:ascii="仿宋_GB2312" w:hAnsi="仿宋_GB2312" w:cs="仿宋_GB2312" w:eastAsia="仿宋_GB2312"/>
        </w:rPr>
        <w:t>委托，拟对</w:t>
      </w:r>
      <w:r>
        <w:rPr>
          <w:rFonts w:ascii="仿宋_GB2312" w:hAnsi="仿宋_GB2312" w:cs="仿宋_GB2312" w:eastAsia="仿宋_GB2312"/>
        </w:rPr>
        <w:t>开展传统广告宣传投放及代理项目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DRZB2025-ZC-121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开展传统广告宣传投放及代理项目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关于开展传统广告宣传投放及代理项目，具体内容详见磋商文件及采购需求。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采购包1（关于开展传统广告宣传投放及代理项目）：属于专门面向中小企业采购。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 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10、中小企业声明函：本项目专门面向中小企业采购，提供中小企业声明函。</w:t>
      </w:r>
    </w:p>
    <w:p>
      <w:pPr>
        <w:pStyle w:val="null3"/>
      </w:pPr>
      <w:r>
        <w:rPr>
          <w:rFonts w:ascii="仿宋_GB2312" w:hAnsi="仿宋_GB2312" w:cs="仿宋_GB2312" w:eastAsia="仿宋_GB2312"/>
        </w:rPr>
        <w:t>11、非联合体声明：提供非联合体不分包响应。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陕西省福利彩票发行中心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029-68742256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招标代理服务费。代理服务费参照发改办价格〔2015〕299号、国家计委关于印发《招标代理服务收费管理暂行办法》的通知（计价格〔2002〕1980号）、《国家发展和改革委员会办公厅关于招标代理服务收费有关问题的通知》（发改办价格〔2003〕857号）规定向中标（成交）供应商收取代理服务费。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陕西省福利彩票发行中心</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陕西省福利彩票发行中心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陕西省福利彩票发行中心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联系人：韩钊、赵璐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关于开展传统广告宣传投放及代理项目，具体内容详见磋商文件及采购需求。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开展传统广告宣传投放及代理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标的名称：开展传统广告宣传投放及代理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rPr>
              <w:t xml:space="preserve">为加大对传统媒体的创新与利用，巩固宣传阵地、整合媒体资源、维系良好媒体关系、提升宣传成效，我们拟开展传统广告宣传投放及代理业务。      </w:t>
            </w:r>
          </w:p>
          <w:p>
            <w:pPr>
              <w:pStyle w:val="null3"/>
            </w:pPr>
            <w:r>
              <w:rPr>
                <w:rFonts w:ascii="仿宋_GB2312" w:hAnsi="仿宋_GB2312" w:cs="仿宋_GB2312" w:eastAsia="仿宋_GB2312"/>
              </w:rPr>
              <w:t>一、采购内容</w:t>
            </w:r>
          </w:p>
          <w:p>
            <w:pPr>
              <w:pStyle w:val="null3"/>
            </w:pPr>
            <w:r>
              <w:rPr>
                <w:rFonts w:ascii="仿宋_GB2312" w:hAnsi="仿宋_GB2312" w:cs="仿宋_GB2312" w:eastAsia="仿宋_GB2312"/>
              </w:rPr>
              <w:t>能够在陕西境内代理陕西日报、央广网PC端陕西频道、华商网、凤凰网陕西、新浪网陕西、搜狐网、华商报官方微信、华商报财经行业微信号头条、华商报财经行业今日头条号、华商二三里、三秦都市报官方微信、三秦都市报官方微博、三秦网、秦闻APP、三秦都市报今日头条号、西安发布APP、西安新闻网、西安晚报微信公众号、西部网、阳光网、阳光报新媒体等媒体，以及其他要求完成的广告业务。省福彩中心可根据实际需求选择部分媒体投放。</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1、能够与省内主要新闻媒体建立良好沟通协作关系，有专人负责文稿及广告内容设计、审核等工作。</w:t>
            </w:r>
          </w:p>
          <w:p>
            <w:pPr>
              <w:pStyle w:val="null3"/>
            </w:pPr>
            <w:r>
              <w:rPr>
                <w:rFonts w:ascii="仿宋_GB2312" w:hAnsi="仿宋_GB2312" w:cs="仿宋_GB2312" w:eastAsia="仿宋_GB2312"/>
              </w:rPr>
              <w:t>2、能够为省福彩中心提供宣传工作调研分析、品牌推广策划方案及具体的策划。</w:t>
            </w:r>
          </w:p>
          <w:p>
            <w:pPr>
              <w:pStyle w:val="null3"/>
            </w:pPr>
            <w:r>
              <w:rPr>
                <w:rFonts w:ascii="仿宋_GB2312" w:hAnsi="仿宋_GB2312" w:cs="仿宋_GB2312" w:eastAsia="仿宋_GB2312"/>
              </w:rPr>
              <w:t>3、能够代理以下媒体战略合作及稿件业务：陕西日报、央广网PC端陕西频道、华商网、凤凰网陕西、新浪网陕西、搜狐网、华商报官方微信、华商报财经行业微信号头条、华商报财经行业今日头条号、华商二三里、三秦都市报官方微信、三秦都市报官方微博、三秦网、秦闻APP、三秦都市报今日头条号、西安发布APP、西安新闻网、西安晚报微信公众号、西部网、阳光网、阳光报新媒体等媒体。以上媒体发布稿件总数量≥859篇。</w:t>
            </w:r>
          </w:p>
          <w:p>
            <w:pPr>
              <w:pStyle w:val="null3"/>
            </w:pPr>
            <w:r>
              <w:rPr>
                <w:rFonts w:ascii="仿宋_GB2312" w:hAnsi="仿宋_GB2312" w:cs="仿宋_GB2312" w:eastAsia="仿宋_GB2312"/>
              </w:rPr>
              <w:t>4、舆论情况处理及其他要求完成的稿件发布业务。</w:t>
            </w:r>
          </w:p>
          <w:p>
            <w:pPr>
              <w:pStyle w:val="null3"/>
            </w:pPr>
            <w:r>
              <w:rPr>
                <w:rFonts w:ascii="仿宋_GB2312" w:hAnsi="仿宋_GB2312" w:cs="仿宋_GB2312" w:eastAsia="仿宋_GB2312"/>
              </w:rPr>
              <w:t>5、以上所列媒体根据省福彩中心工作需要可在同等价位进行调整。</w:t>
            </w:r>
          </w:p>
          <w:p>
            <w:pPr>
              <w:pStyle w:val="null3"/>
            </w:pPr>
            <w:r>
              <w:rPr>
                <w:rFonts w:ascii="仿宋_GB2312" w:hAnsi="仿宋_GB2312" w:cs="仿宋_GB2312" w:eastAsia="仿宋_GB2312"/>
              </w:rPr>
              <w:t>6、代理费以发布代理的金额4%为上限，服务期间所有费用及代理费用总额在预算100万之内，项目最终结算金额以项目期内在各类媒体广告投放实际结算为准。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省福彩中心指定地点。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按照政府采购合同约定的技术、服务、安全标准组织对供应商服务的履约情况进行验收，并出具验收书。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乙方完成本项目50%以上的投放工作，提供相应真实、合法有效并符合国家法律法规的投放证明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乙方完成本合同全部投放要求后，并提供验收资料，经甲方验收合格并组织专家进行评审通过后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提供非联合体不分包响应。</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业绩.docx 服务保障措施.docx 供应商认为有必要说明的其他资料.docx 中小企业声明函 项目团队.docx 项目理解分析.docx 突发情况及舆情应急保障.docx 服务偏离表.docx 资格证明文件.docx 供应商承诺书.docx 后续服务.docx 响应文件封面 分项报价表.docx 服务承诺和保证措施.docx 残疾人福利性单位声明函 调研分析及品牌推广.docx 标的清单 保证金缴纳凭证.docx 实施方案.docx 响应函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业绩.docx 服务保障措施.docx 供应商认为有必要说明的其他资料.docx 中小企业声明函 项目团队.docx 项目理解分析.docx 突发情况及舆情应急保障.docx 服务偏离表.docx 资格证明文件.docx 供应商承诺书.docx 后续服务.docx 响应文件封面 分项报价表.docx 服务承诺和保证措施.docx 残疾人福利性单位声明函 调研分析及品牌推广.docx 标的清单 保证金缴纳凭证.docx 实施方案.docx 响应函 商务偏离表.docx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无不符合法律法规或磋商文件规定的响应无效条款</w:t>
            </w:r>
          </w:p>
        </w:tc>
        <w:tc>
          <w:tcPr>
            <w:tcW w:type="dxa" w:w="1661"/>
          </w:tcPr>
          <w:p>
            <w:pPr>
              <w:pStyle w:val="null3"/>
            </w:pPr>
            <w:r>
              <w:rPr>
                <w:rFonts w:ascii="仿宋_GB2312" w:hAnsi="仿宋_GB2312" w:cs="仿宋_GB2312" w:eastAsia="仿宋_GB2312"/>
              </w:rPr>
              <w:t>报价一览表.docx 业绩.docx 服务保障措施.docx 供应商认为有必要说明的其他资料.docx 中小企业声明函 项目团队.docx 项目理解分析.docx 突发情况及舆情应急保障.docx 服务偏离表.docx 资格证明文件.docx 供应商承诺书.docx 后续服务.docx 响应文件封面 分项报价表.docx 服务承诺和保证措施.docx 残疾人福利性单位声明函 调研分析及品牌推广.docx 标的清单 保证金缴纳凭证.docx 实施方案.docx 响应函 商务偏离表.docx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一、评审内容 针对本项目提供对项目的理解方案，包括但不限于①项目背景、内容意义的理解；②供应商须对项目实施过程中存在的难点、重点分析及解决方案；③针对本项目实施的合理化建议。 二、评审标准 1、完整性：方案须全面，对评审内容中的各项要求有详细描述； 2、可实施性：切合本项目实际情况，实施步骤清晰、合理； 3、针对性：方案能够紧扣项目实际情况，内容科学合理。 三、赋分依据（满分9分） ①项目背景、内容意义的理解：每完全满足一个评审标准得1分，满分3分； ②供应商须对项目实施过程中存在的难点、重点分析及解决方案：每完全满足一个评审标准得1分，满分3； ③针对本项目实施的合理化建议:每完全满足一个评审标准得1分，满分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完善的实施方案，包括但不限于：①项目现状分析及整体实施框架；②福利彩票品牌宣传思路；③稿件策划及发布思路；④稿件内容审核及安全保障思路；⑤媒体合作关系维系思路；⑥对不同媒体平台有相应的宣传方案及投放计划。 二、评审标准 1、完整性：方案须全面，对评审内容中的各项要求有详细描述； 2、可实施性：切合本项目实际情况，实施步骤清晰、合理； 3、针对性：方案能够紧扣项目实际情况，内容科学合理。 三、赋分依据（满分18分） ①项目现状分析及整体实施框架：每完全满足一个评审标准得1分，满分3； ②福利彩票品牌宣传思路：每完全满足一个评审标准得1分，满分3分； ③稿件策划及发布思路：每完全满足一个评审标准得1分，满分3分； ④稿件内容审核及安全保障思路：每完全满足一个评审标准得1分，满分3分； ⑤媒体合作关系维系思路：每完全满足一个评审标准得1分，满分3分； ⑥对不同媒体平台有相应的宣传方案及投放计划：每完全满足一个评审标准得1分，满分3分。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调研分析及品牌推广</w:t>
            </w:r>
          </w:p>
        </w:tc>
        <w:tc>
          <w:tcPr>
            <w:tcW w:type="dxa" w:w="2492"/>
          </w:tcPr>
          <w:p>
            <w:pPr>
              <w:pStyle w:val="null3"/>
            </w:pPr>
            <w:r>
              <w:rPr>
                <w:rFonts w:ascii="仿宋_GB2312" w:hAnsi="仿宋_GB2312" w:cs="仿宋_GB2312" w:eastAsia="仿宋_GB2312"/>
              </w:rPr>
              <w:t>一、评审内容 针对本项目提供完善的调研分析及品牌推广方案，包括但不限于：①项目调研分析；②调研方法及步骤；③品牌推广策划方案；④品牌推广预期达到目标。 二、评审标准 1、完整性：方案须全面，对评审内容中的各项要求有详细描述； 2、可实施性：切合本项目实际情况，实施步骤清晰、合理； 3、针对性：方案能够紧扣项目实际情况，内容科学合理。 三、赋分依据（满分12分） ①项目调研分析：每完全满足一个评审标准得1分，满分3分； ②调研方法及步骤：每完全满足一个评审标准得1分，满分3分； ③品牌推广策划方案：每完全满足一个评审标准得1分，满分3分； ④品牌推广预期达到目标：每完全满足一个评审标准得1分，满分3分。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调研分析及品牌推广.docx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针对本项目提供服务保障措施方案，包括但不限于：①项目质量服务保障措施；②项目进度控制及安排保障；③保密措施。 二、评审标准 1、完整性：方案须全面，对评审内容中的各项要求有详细描述； 2、可实施性：切合本项目实际情况，实施步骤清晰、合理； 3、针对性：方案能够紧扣项目实际情况，内容科学合理。 三、赋分依据（满分9分） ①项目质量服务保障措施：每完全满足一个评审标准得1分，满分3分； ②项目进度控制及安排保障：每完全满足一个评审标准得1分，满分3分； ③保密措施：每完全满足一个评审标准得1分，满分3分。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服务保障措施.docx</w:t>
            </w:r>
          </w:p>
        </w:tc>
      </w:tr>
      <w:tr>
        <w:tc>
          <w:tcPr>
            <w:tcW w:type="dxa" w:w="831"/>
            <w:vMerge/>
          </w:tcPr>
          <w:p/>
        </w:tc>
        <w:tc>
          <w:tcPr>
            <w:tcW w:type="dxa" w:w="1661"/>
          </w:tcPr>
          <w:p>
            <w:pPr>
              <w:pStyle w:val="null3"/>
            </w:pPr>
            <w:r>
              <w:rPr>
                <w:rFonts w:ascii="仿宋_GB2312" w:hAnsi="仿宋_GB2312" w:cs="仿宋_GB2312" w:eastAsia="仿宋_GB2312"/>
              </w:rPr>
              <w:t>突发情况及舆情应急保障</w:t>
            </w:r>
          </w:p>
        </w:tc>
        <w:tc>
          <w:tcPr>
            <w:tcW w:type="dxa" w:w="2492"/>
          </w:tcPr>
          <w:p>
            <w:pPr>
              <w:pStyle w:val="null3"/>
            </w:pPr>
            <w:r>
              <w:rPr>
                <w:rFonts w:ascii="仿宋_GB2312" w:hAnsi="仿宋_GB2312" w:cs="仿宋_GB2312" w:eastAsia="仿宋_GB2312"/>
              </w:rPr>
              <w:t>一、评审内容 针对本项目提供突发情况及舆情应急保障方案，包括但不限于：①突发事件的响应机制；②突发事件的应对方案及解决办法；③舆情控制及应对方案；④重大活动宣传及舆情处理承诺（包含但不限于：对应媒体、处理办法及时效等）。 二、评审标准 1、完整性：方案须全面，对评审内容中的各项要求有详细描述； 2、可实施性：切合本项目实际情况，实施步骤清晰、合理； 3、针对性：方案能够紧扣项目实际情况，内容科学合理。 三、赋分依据（满分12分） ①突发事件的响应机制：每完全满足一个评审标准得1分，满分3分； ②突发事件的应对方案及解决办法：每完全满足一个评审标准得1分，满分3分； ③舆情控制及应对方案：每完全满足一个评审标准得1分，满分3分； ④重大活动宣传及舆情处理承诺（包含但不限于：对应媒体、处理办法及时效等）：每完全满足一个评审标准得1分，满分3分。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突发情况及舆情应急保障.docx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针对本项目采购需求中的人员要求提供团队人员配备方案（总体服务人员不少于5人，其中项目专职负责人1人），包括但不限于：①团队组织架构；②人员构成及分工；③岗位设置；④岗位责任制度。注：②须提供项目团队人员名单（包括宣传稿件策划、宣传稿件制作团队、后期服务团队等姓名、工作职责、联系方式及劳动合同或近6个月内任意1个月的社保缴纳证明），否则不得分。 二、评审标准 1、完整性：方案须全面，对评审内容中的各项要求有详细描述； 2、可实施性：切合本项目实际情况，实施步骤清晰、合理； 3、针对性：方案能够紧扣项目实际情况，内容科学合理。 三、赋分依据（满分12分） ①团队组织架构：每完全满足一个评审标准得1分，满分3分； ②人员构成及分工：每完全满足一个评审标准得1分，满分3分； ③岗位设置：每完全满足一个评审标准得1分，满分3分； ④岗位责任制度：每完全满足一个评审标准得1分，满分3分。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服务承诺和保证措施</w:t>
            </w:r>
          </w:p>
        </w:tc>
        <w:tc>
          <w:tcPr>
            <w:tcW w:type="dxa" w:w="2492"/>
          </w:tcPr>
          <w:p>
            <w:pPr>
              <w:pStyle w:val="null3"/>
            </w:pPr>
            <w:r>
              <w:rPr>
                <w:rFonts w:ascii="仿宋_GB2312" w:hAnsi="仿宋_GB2312" w:cs="仿宋_GB2312" w:eastAsia="仿宋_GB2312"/>
              </w:rPr>
              <w:t>一、评审内容 针对本项目提供服务承诺及保障措施，包括但不限于①确保稿件内容准确无误，符合相关法律法规承诺；②第三方平台合法性证明材料（包括不限于：授权书、合作协议或年度代理合同等）；③广告设计的版权承诺及保障； 二、评审标准 1、完整性：方案须全面，对评审内容中的各项要求有详细描述； 2、可实施性：切合本项目实际情况，实施步骤清晰、合理； 3、针对性：方案能够紧扣项目实际情况，内容科学合理。 三、赋分依据（满分9分） ①确保稿件内容准确无误，符合相关法律法规承诺：每完全满足一个评审标准得1分，满分3分； ②第三方平台合法性证明材料（包括但不限于：授权书、合作协议、年度代理合同等）：每完全满足一个评审标准得1分，满分3分； ③广告设计的版权承诺及保障：每完全满足一个评审标准得1分，满分3分。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服务承诺和保证措施.docx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提供针对该项目的后续服务，根据供应商额外提供的稿件数量进行赋分： 1、提供10篇得1分； 2、提供11-20篇得2分； 3、提供21-30篇得3分； 4、提供31-49篇得4分； 5、提供50篇及以上得5分. （提供服务承诺书并加盖公章，未提供不得分，不重复计分）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后续服务.docx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提供2022年5月1日以来广告投放类项目业绩，每提供一个得1分，满分4分。注：以合同签订日期为准，提供合同复印件（包括首页、签字盖章页，金额等，金额不得涂抹）加盖公章。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满足磋商文件要求且磋商价格最低的磋商报价为评标基准价，其价格分为满分。其他供应商的价格分统一按照下列公式计算：磋商报价得分=（评标基准价/磋商报价）×10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详见附件：调研分析及品牌推广.docx</w:t>
      </w:r>
    </w:p>
    <w:p>
      <w:pPr>
        <w:pStyle w:val="null3"/>
        <w:ind w:firstLine="960"/>
      </w:pPr>
      <w:r>
        <w:rPr>
          <w:rFonts w:ascii="仿宋_GB2312" w:hAnsi="仿宋_GB2312" w:cs="仿宋_GB2312" w:eastAsia="仿宋_GB2312"/>
        </w:rPr>
        <w:t>详见附件：服务保障措施.docx</w:t>
      </w:r>
    </w:p>
    <w:p>
      <w:pPr>
        <w:pStyle w:val="null3"/>
        <w:ind w:firstLine="960"/>
      </w:pPr>
      <w:r>
        <w:rPr>
          <w:rFonts w:ascii="仿宋_GB2312" w:hAnsi="仿宋_GB2312" w:cs="仿宋_GB2312" w:eastAsia="仿宋_GB2312"/>
        </w:rPr>
        <w:t>详见附件：突发情况及舆情应急保障.docx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详见附件：服务承诺和保证措施.docx</w:t>
      </w:r>
    </w:p>
    <w:p>
      <w:pPr>
        <w:pStyle w:val="null3"/>
        <w:ind w:firstLine="960"/>
      </w:pPr>
      <w:r>
        <w:rPr>
          <w:rFonts w:ascii="仿宋_GB2312" w:hAnsi="仿宋_GB2312" w:cs="仿宋_GB2312" w:eastAsia="仿宋_GB2312"/>
        </w:rPr>
        <w:t>详见附件：后续服务.docx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