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版本号：DQA-2025060-CS20250616001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陕西省能源化工行业新污染物治理全生命周期分级管控项目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DQA-2025060-CS</w:t>
      </w:r>
      <w:r>
        <w:br/>
      </w:r>
      <w:r>
        <w:br/>
      </w:r>
      <w:r>
        <w:br/>
      </w:r>
    </w:p>
    <w:p>
      <w:pPr>
        <w:pStyle w:val="null3"/>
        <w:jc w:val="center"/>
        <w:outlineLvl w:val="2"/>
      </w:pPr>
      <w:r>
        <w:rPr>
          <w:rFonts w:ascii="仿宋_GB2312" w:hAnsi="仿宋_GB2312" w:cs="仿宋_GB2312" w:eastAsia="仿宋_GB2312"/>
          <w:sz w:val="28"/>
          <w:b/>
        </w:rPr>
        <w:t>陕西省环境科学研究院</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陕西省环境科学研究院</w:t>
      </w:r>
      <w:r>
        <w:rPr>
          <w:rFonts w:ascii="仿宋_GB2312" w:hAnsi="仿宋_GB2312" w:cs="仿宋_GB2312" w:eastAsia="仿宋_GB2312"/>
        </w:rPr>
        <w:t>委托，拟对</w:t>
      </w:r>
      <w:r>
        <w:rPr>
          <w:rFonts w:ascii="仿宋_GB2312" w:hAnsi="仿宋_GB2312" w:cs="仿宋_GB2312" w:eastAsia="仿宋_GB2312"/>
        </w:rPr>
        <w:t>陕西省能源化工行业新污染物治理全生命周期分级管控项目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DQA-2025060-CS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陕西省能源化工行业新污染物治理全生命周期分级管控项目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贯彻落实《新污染物治理行动方案》和《陕西省新污染物治理工作方案》，遵循新污染物全生命周期环境风险管理理念统筹推进新污染物环境风险管理。2025年拟选择我省煤化工行业开展陕西省能源化工行业新污染物治理全生命周期分级管控研究，进一步构建环境风险管控体系，全面落实新污染物协同治理。 结合陕西省重点区域及流域新污染物专项调查评估成果，分析本省能源化工行业现有新污染物环境赋存特征数据，筛选典型新污染物并确定实测浓度作为染毒依据，开展毒性参数测定及效应机制研究，评估长期低剂量暴露对人体健康的潜在风险。 本项目以新污染物与传统污染物协同治理为核心目标，通过推动企业实施原材料替代和末端治理措施改造，构建能源化工行业新污染物的分级分类风险管控机制。基于风险预防原则，系统推进"源头减量-过程优化-末端治理"的全链条污染防控体系，促进陕北能源化工产业绿色低碳转型，为建立覆盖生产、使用、排放、处置全生命周期的陕西省能源化工行业新污染物分级管控体系，实现环境风险的系统化防控打好基础。 2025年11月30日前利用已开展的能源化工区新污染物调查与评估监测结果，针对能源化工行业特征新污染物，实施煤化工企业周边环境健康风险评估，并开展新污染物经呼吸系统暴露的毒性效应及作用机制研究。选取陕西省煤化工企业为对象，对废气、废水及固体废物中的新污染物开展监测分析，研究煤化工行业新污染物协同治理措施（源头替代、过程控制及治理设施提标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1、主体资格证明文件：提供有效存续的企业营业执照（副本）/事业单位法人证书/专业服务机构执业许可证/民办非企业单位登记证书等主体资格证明文件，自然人投标提供其身份证明文件。</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 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1、主体资格证明文件：提供有效存续的企业营业执照（副本）/事业单位法人证书/专业服务机构执业许可证/民办非企业单位登记证书等主体资格证明文件，自然人投标提供其身份证明文件。</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 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陕西省西安市碑林区长安北路49号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029-85365551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p>
          <w:p>
            <w:pPr>
              <w:pStyle w:val="null3"/>
            </w:pPr>
            <w:r>
              <w:rPr>
                <w:rFonts w:ascii="仿宋_GB2312" w:hAnsi="仿宋_GB2312" w:cs="仿宋_GB2312" w:eastAsia="仿宋_GB2312"/>
              </w:rPr>
              <w:t>采购包2：200,000.00元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银行账号：52880188000129452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由中标单位支付，甲方同意乙方按照国家发展计划委制定的《招标代理服务收费管理暂行办法》（计价格[2002]1980号）及国家发展改革委办公厅制定的《关于招标代理服务收费有关问题的通知》（发改办价格[2003]857号）等相关规定收取费用（核算后低于5000元按5000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陕西省环境科学研究院</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陕西省环境科学研究院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以合同条款为准。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以合同条款为准。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落实《新污染物治理行动方案》和《陕西省新污染物治理工作方案》，遵循新污染物全生命周期环境风险管理理念统筹推进新污染物环境风险管理。2025年拟选择我省煤化工行业开展陕西省能源化工行业新污染物治理全生命周期分级管控研究，进一步构建环境风险管控体系，全面落实新污染物协同治理。 结合陕西省重点区域及流域新污染物专项调查评估成果，分析本省能源化工行业现有新污染物环境赋存特征数据，筛选典型新污染物并确定实测浓度作为染毒依据，开展毒性参数测定及效应机制研究，评估长期低剂量暴露对人体健康的潜在风险。 本项目以新污染物与传统污染物协同治理为核心目标，通过推动企业实施原材料替代和末端治理措施改造，构建能源化工行业新污染物的分级分类风险管控机制。基于风险预防原则，系统推进"源头减量-过程优化-末端治理"的全链条污染防控体系，促进陕北能源化工产业绿色低碳转型，为建立覆盖生产、使用、排放、处置全生命周期的陕西省能源化工行业新污染物分级管控体系，实现环境风险的系统化防控打好基础。 2025年11月30日前利用已开展的能源化工区新污染物调查与评估监测结果，针对能源化工行业特征新污染物，实施煤化工企业周边环境健康风险评估，并开展新污染物经呼吸系统暴露的毒性效应及作用机制研究。选取陕西省煤化工企业为对象，对废气、废水及固体废物中的新污染物开展监测分析，研究煤化工行业新污染物协同治理措施（源头替代、过程控制及治理设施提标改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开展毒性参数及效应机制试验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探索建立能源化工行业分级管控体系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标的名称：开展毒性参数及效应机制试验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1、在选定的典型园区周边开展土壤和地表水监测，分析能源化工行业现有典型新污染物环境赋存特征。采样频次为：土壤1次/年，地表水1次/年。土壤和地表水各四个点位，共采集样品不少于8个，土壤和地表监测点位根据具体实际监测方案进行补充。</w:t>
            </w:r>
          </w:p>
          <w:p>
            <w:pPr>
              <w:pStyle w:val="null3"/>
              <w:ind w:firstLine="480"/>
              <w:jc w:val="left"/>
            </w:pPr>
            <w:r>
              <w:rPr>
                <w:rFonts w:ascii="仿宋_GB2312" w:hAnsi="仿宋_GB2312" w:cs="仿宋_GB2312" w:eastAsia="仿宋_GB2312"/>
                <w:sz w:val="24"/>
                <w:color w:val="000000"/>
              </w:rPr>
              <w:t>2、基于先前煤化工园区非靶向筛查结果，选择匹配因子较高的典型新污染物进行定量分析检测。结合煤化工行业涉及的重点管理新污染物二氯甲烷或三氯甲烷，在定量分析的基础上确定联合染毒浓度，开展细胞毒性研究实验，实验内容包括污染物对细胞的毒性效应以及毒性机制研究。其中，典型新污染物对细胞的毒性机制研究要包括转录组学分析和转录组学验证等相关内容。</w:t>
            </w:r>
          </w:p>
          <w:p>
            <w:pPr>
              <w:pStyle w:val="null3"/>
              <w:ind w:firstLine="480"/>
              <w:jc w:val="left"/>
            </w:pPr>
            <w:r>
              <w:rPr>
                <w:rFonts w:ascii="仿宋_GB2312" w:hAnsi="仿宋_GB2312" w:cs="仿宋_GB2312" w:eastAsia="仿宋_GB2312"/>
                <w:sz w:val="24"/>
                <w:color w:val="000000"/>
              </w:rPr>
              <w:t>3、编制详细可行的监测方案和实验方案。监测方案至少应包括：工作任务、工作团队组建与分工、各环节主要内容、工作流程、技术手段、质控措施、工作计划和工作任务量等，方案编制要坚持针对性、规范性和可操作性原则，保证工作开展的可行性、科学性和准确性。</w:t>
            </w:r>
          </w:p>
          <w:p>
            <w:pPr>
              <w:pStyle w:val="null3"/>
              <w:ind w:firstLine="480"/>
              <w:jc w:val="left"/>
            </w:pPr>
            <w:r>
              <w:rPr>
                <w:rFonts w:ascii="仿宋_GB2312" w:hAnsi="仿宋_GB2312" w:cs="仿宋_GB2312" w:eastAsia="仿宋_GB2312"/>
                <w:sz w:val="24"/>
                <w:color w:val="000000"/>
              </w:rPr>
              <w:t>4、2025年11月30日前提交原始监测数据和《陕西省能源化工行业新污染物治理全生命周期分级管控项目总结报告》，报告内容包含监测因子浓度趋势分析，典型新污染物对呼吸系统相关细胞的毒性研究结果，煤化工企业周边环境健康风险评估，评估长期低剂量暴露对人体健康的潜在风险并给出对策和建议。</w:t>
            </w:r>
          </w:p>
          <w:p>
            <w:pPr>
              <w:pStyle w:val="null3"/>
              <w:jc w:val="left"/>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标的名称：探索建立能源化工行业分级管控体系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000000"/>
              </w:rPr>
              <w:t>选取陕西省煤化工企业为对象，对废气、废水及固体废物中的新污染物开展监测分析，研究煤化工行业新污染物协同治理措施（源头替代、过程控制及治理设施提标改造）。企业能够配合开展原材料替代和末端治理措施改造，</w:t>
            </w:r>
            <w:r>
              <w:rPr>
                <w:rFonts w:ascii="仿宋_GB2312" w:hAnsi="仿宋_GB2312" w:cs="仿宋_GB2312" w:eastAsia="仿宋_GB2312"/>
                <w:sz w:val="24"/>
                <w:color w:val="000000"/>
              </w:rPr>
              <w:t>2025年11月30日前</w:t>
            </w:r>
            <w:r>
              <w:rPr>
                <w:rFonts w:ascii="仿宋_GB2312" w:hAnsi="仿宋_GB2312" w:cs="仿宋_GB2312" w:eastAsia="仿宋_GB2312"/>
                <w:sz w:val="24"/>
                <w:color w:val="000000"/>
              </w:rPr>
              <w:t>提交</w:t>
            </w:r>
            <w:r>
              <w:rPr>
                <w:rFonts w:ascii="仿宋_GB2312" w:hAnsi="仿宋_GB2312" w:cs="仿宋_GB2312" w:eastAsia="仿宋_GB2312"/>
                <w:sz w:val="24"/>
                <w:color w:val="000000"/>
              </w:rPr>
              <w:t>对废气、废水及固体废物中的新污染物</w:t>
            </w:r>
            <w:r>
              <w:rPr>
                <w:rFonts w:ascii="仿宋_GB2312" w:hAnsi="仿宋_GB2312" w:cs="仿宋_GB2312" w:eastAsia="仿宋_GB2312"/>
                <w:sz w:val="24"/>
                <w:color w:val="000000"/>
              </w:rPr>
              <w:t>的监测报告</w:t>
            </w:r>
            <w:r>
              <w:rPr>
                <w:rFonts w:ascii="仿宋_GB2312" w:hAnsi="仿宋_GB2312" w:cs="仿宋_GB2312" w:eastAsia="仿宋_GB2312"/>
                <w:sz w:val="24"/>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提供具有履行本合同所必需的设施设备。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2025年10月30日前完成毒理实验，并提供包含原始实验数据和煤化工行业典型新污染环境健康风险报告。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2025年10月30日前完成现场采样，并提供包含原始监测数据的监测报告。</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项目样品采集完成后，完成分析本省能源化工行业现有新污染物环境赋存特征数据，筛选典型新污染物并确定实测浓度作为染毒依据</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项目实施完成后出具分析报告并经甲方验收合格后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项目样品采集完成后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项目实施完成后出具总结报告并经甲方验收合格后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1.纸质文件要求 （1）供应商需要在线提交所有通过电子化交易平台实施的政府采购项目的响应文件，同时，线下提交纸质响应文件正本壹份、副本壹份。若电子响应文件与纸质响应文件不一致的，以电子响应文件为准。 （2）响应文件，正、副本分别各自装订成册密封。在封口处加盖供应商公章。 （3）线下响应文件递交截止时间与线上开评标时间一致。 （4）纸质响应文件可邮寄递交，应于递交响应文件截止时间前邮寄到西安市高新区丈八一路1号汇鑫中心D座2206室（陕西德勤招标有限公司）。 2、磋商保证金注意事项 （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deqinjxm@126.com（邮件命名：项目编号）；供应商应在响应文件中附保函扫描件。保函必须由具有开具投标保函资格的单位开具；若成交人违约，开具保函单位承担连带责任；（2）磋商保证金的提交金额、时间不满足磋商文件要求的，响应无效；（3）未按指定账户提交的，我公司将退回，供应商须在响应文件递交截止时间前按照指定账户再次提交。 3、因文件关于合同签订时间无法修改，特在此处说明，成交人应当在成交通知书发出之日起25日内与采购人签订政府采购合同。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提供有效存续的企业营业执照（副本）/事业单位法人证书/专业服务机构执业许可证/民办非企业单位登记证书等主体资格证明文件，自然人投标提供其身份证明文件。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 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提供有效存续的企业营业执照（副本）/事业单位法人证书/专业服务机构执业许可证/民办非企业单位登记证书等主体资格证明文件，自然人投标提供其身份证明文件。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 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非联合体不分包磋商声明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控股管理关系 法定代表人授权书 响应文件封面 非联合体不分包磋商声明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控股管理关系 法定代表人授权书 非联合体不分包磋商声明 近三年无重大违法、违纪书面声明 响应文件封面 残疾人福利性单位声明函 服务方案 标的清单 响应函 书面声明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控股管理关系 法定代表人授权书 响应文件封面 非联合体不分包磋商声明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控股管理关系 法定代表人授权书 响应文件封面 非联合体不分包磋商声明 近三年无重大违法、违纪书面声明 残疾人福利性单位声明函 服务方案 标的清单 响应函 书面声明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对项目整体的理解情况</w:t>
            </w:r>
          </w:p>
        </w:tc>
        <w:tc>
          <w:tcPr>
            <w:tcW w:type="dxa" w:w="2492"/>
          </w:tcPr>
          <w:p>
            <w:pPr>
              <w:pStyle w:val="null3"/>
            </w:pPr>
            <w:r>
              <w:rPr>
                <w:rFonts w:ascii="仿宋_GB2312" w:hAnsi="仿宋_GB2312" w:cs="仿宋_GB2312" w:eastAsia="仿宋_GB2312"/>
              </w:rPr>
              <w:t>根据供应商对项目的整体理解情况。1、项目工作目标及要求的理解深度；2、对相关资料的掌握情况；3、以及对陕西省相关政策的理解程度。 根据响应内容，完全响应得12分；每有一项缺项内容扣4分，每有一处内容存在缺陷扣2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针对本项目提供详细的实施方案。1、完整性：方案能对采购人提出的工作内容进行完整、合理地阐述，对所有服务需求提出明确的服务工作机制、工作流程。2、可行性：方案的总体框架清 晰，符合项目立项目的，结合我省特点，并提出合法、合规并有利于推动项目实施措施。3、专业性：技术思路清晰、明确，逻辑性强，有系统、科学、操作性强的研究方法，充分考虑区域实际。4、及时性：方案中具有具体的服务响应期限，能够做到及时、高效响应采购人的需求，进度计划科学合理，保证工作效率效果。 根据方案的完整性、可行性、专业性、及时性综合评价，完全响应得24分；每有一项缺项内容扣6分，每有一处内容存在缺陷扣3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关键点、重难点分析</w:t>
            </w:r>
          </w:p>
        </w:tc>
        <w:tc>
          <w:tcPr>
            <w:tcW w:type="dxa" w:w="2492"/>
          </w:tcPr>
          <w:p>
            <w:pPr>
              <w:pStyle w:val="null3"/>
            </w:pPr>
            <w:r>
              <w:rPr>
                <w:rFonts w:ascii="仿宋_GB2312" w:hAnsi="仿宋_GB2312" w:cs="仿宋_GB2312" w:eastAsia="仿宋_GB2312"/>
              </w:rPr>
              <w:t>针对本项目的关键点。重难点分析。1、正确识别本项目关键点及重难点并逐条列出。2、对上述关键点及重难点分析全面、具体、透彻，解决对策有针对性。 根据响应内容，完全响应得10分；每有一项缺项内容扣5分，每有一处内容存在缺陷扣2.5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1、针对本项目提供拟派团队的组织架构图或具体的项目组成员名单，总人数5人及以上得5分，5人以下得2分； 2、项目负责人应具有高级及以上职称，专业为生物学相关专业，得3分；并具有从事毒性效应及机制研究相关工作经验（提供作为项目负责人承担过的相关项目），得2分。 3、拟派团队成员（除项目负责人外）包含环境科学或环境健康相关专业等4名及以上专业技术人员（其中环境健康专业不少于2名），得4分。 4、拟派团队成员（除项目负责人外）每有1人具有高级及以上职称，得1分，最高得4分。 （响应文件中须提供人员的职称证书，合同复印件和单位在磋商公告发布时间止近半年内连续3个月的社保证明复印件为准，未提供不得分）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1、针对本项目的质量保证方案。（1）具有针对本项目质量管理制度；（2）具有针对本项目的保障措施。 根据响应内容，完全响应得5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保密、廉洁措施</w:t>
            </w:r>
          </w:p>
        </w:tc>
        <w:tc>
          <w:tcPr>
            <w:tcW w:type="dxa" w:w="2492"/>
          </w:tcPr>
          <w:p>
            <w:pPr>
              <w:pStyle w:val="null3"/>
            </w:pPr>
            <w:r>
              <w:rPr>
                <w:rFonts w:ascii="仿宋_GB2312" w:hAnsi="仿宋_GB2312" w:cs="仿宋_GB2312" w:eastAsia="仿宋_GB2312"/>
              </w:rPr>
              <w:t>针对本项目的保密、廉洁措施。1、具有针对本项目的保密措施或承诺。2、具有针对本项目的廉洁措施或承诺。 根据响应内容，完全响应得6分；每有一项缺项内容扣3分，每有一处内容存在缺陷扣1.5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w:t>
            </w:r>
          </w:p>
        </w:tc>
        <w:tc>
          <w:tcPr>
            <w:tcW w:type="dxa" w:w="2492"/>
          </w:tcPr>
          <w:p>
            <w:pPr>
              <w:pStyle w:val="null3"/>
            </w:pPr>
            <w:r>
              <w:rPr>
                <w:rFonts w:ascii="仿宋_GB2312" w:hAnsi="仿宋_GB2312" w:cs="仿宋_GB2312" w:eastAsia="仿宋_GB2312"/>
              </w:rPr>
              <w:t>具有切实可行的后期支持服务方案及承诺。1、服务范围及内容；2、响应时间及技术服务联系人、联系方式等。 根据响应内容，完全响应得5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供应商2022年1月至今(以签订合同业绩，每提供一个类似业绩得2分，最高得12分。（以磋商响应文件中合同或合同关键页（必须含封面、内容、签订时间、盖章签字页等信息））</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对项目整体的理解情况</w:t>
            </w:r>
          </w:p>
        </w:tc>
        <w:tc>
          <w:tcPr>
            <w:tcW w:type="dxa" w:w="2492"/>
          </w:tcPr>
          <w:p>
            <w:pPr>
              <w:pStyle w:val="null3"/>
            </w:pPr>
            <w:r>
              <w:rPr>
                <w:rFonts w:ascii="仿宋_GB2312" w:hAnsi="仿宋_GB2312" w:cs="仿宋_GB2312" w:eastAsia="仿宋_GB2312"/>
              </w:rPr>
              <w:t>根据供应商对项目的整体理解情况。1、项目工作目标及要求的理解深度；2、对相关资料的掌握情况；3、以及对陕西省相关政策的理解程度。 根据响应内容，完全响应得12分；每有一项缺项内容扣4分，每有一处内容存在缺陷扣2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针对本项目提供详细的实施方案。1、完整性：方案能对采购人提出的工作内容进行完整、合理地阐述，对所有服务需求提出明确的服务工作机制、工作流程。2、可行性：方案的总体框架清 晰，符合项目立项目的，结合我省特点，并提出合法、合规并有利于推动项目实施措施。3、专业性：技术思路清晰、明确，逻辑性强，有系统、科学、操作性强的研究方法，充分考虑区域实际。4、及时性：方案中具有具体的服务响应期限，能够做到及时、高效响应采购人的需求，进度计划科学合理，保证工作效率效果。 根据方案的完整性、可行性、专业性、及时性综合评价，完全响应得24分；每有一项缺项内容扣6分，每有一处内容存在缺陷扣3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关键点、重难点分析</w:t>
            </w:r>
          </w:p>
        </w:tc>
        <w:tc>
          <w:tcPr>
            <w:tcW w:type="dxa" w:w="2492"/>
          </w:tcPr>
          <w:p>
            <w:pPr>
              <w:pStyle w:val="null3"/>
            </w:pPr>
            <w:r>
              <w:rPr>
                <w:rFonts w:ascii="仿宋_GB2312" w:hAnsi="仿宋_GB2312" w:cs="仿宋_GB2312" w:eastAsia="仿宋_GB2312"/>
              </w:rPr>
              <w:t>针对本项目的关键点。重难点分析。1、正确识别本项目关键点及重难点并逐条列出。2、对上述关键点及重难点分析全面、具体、透彻，解决对策有针对性。 根据响应内容，完全响应得10分；每有一项缺项内容扣5分，每有一处内容存在缺陷扣2.5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1、针对本项目提供拟派团队的组织架构图或具体的项目组成员名单，总人数4人或以上得4分，不满足不得分。 2、项目负责人应具有中级及以上职称，专业为环境类、化学类、土壤类、水文类、计算机科学与技术等相关专业，并具有3年以上的环境类工作经验，得5分。 3、拟派团队成员（除项目负责人外）包含环境类、化学类、土壤类、水文类、计算机科学与技术等相关专业等3名及以上专业技术人员，得4分。 4、拟派团队成员（除项目负责人外）每有1人具有中级及以上职称，得1分，最高得3分。 （以响应文件中学历证书、工作经历证明材料、职称证书及该成员在供应商供职的劳动合同等相关证明资料扫描件或复印件为准，未提供不得分）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1、针对本项目的质量保证方案。（1）具有针对本项目质量管理制度；（2）具有针对本项目的保障措施。 根据响应内容，完全响应得5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保密、廉洁措施</w:t>
            </w:r>
          </w:p>
        </w:tc>
        <w:tc>
          <w:tcPr>
            <w:tcW w:type="dxa" w:w="2492"/>
          </w:tcPr>
          <w:p>
            <w:pPr>
              <w:pStyle w:val="null3"/>
            </w:pPr>
            <w:r>
              <w:rPr>
                <w:rFonts w:ascii="仿宋_GB2312" w:hAnsi="仿宋_GB2312" w:cs="仿宋_GB2312" w:eastAsia="仿宋_GB2312"/>
              </w:rPr>
              <w:t>针对本项目的保密、廉洁措施。1、具有针对本项目的保密措施或承诺。2、具有针对本项目的廉洁措施或承诺。 根据响应内容，完全响应得6分；每有一项缺项内容扣3分，每有一处内容存在缺陷扣1.5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w:t>
            </w:r>
          </w:p>
        </w:tc>
        <w:tc>
          <w:tcPr>
            <w:tcW w:type="dxa" w:w="2492"/>
          </w:tcPr>
          <w:p>
            <w:pPr>
              <w:pStyle w:val="null3"/>
            </w:pPr>
            <w:r>
              <w:rPr>
                <w:rFonts w:ascii="仿宋_GB2312" w:hAnsi="仿宋_GB2312" w:cs="仿宋_GB2312" w:eastAsia="仿宋_GB2312"/>
              </w:rPr>
              <w:t>具有切实可行的后期支持服务方案及承诺。1、服务范围及内容；2、响应时间及技术服务联系人、联系方式等。 根据响应内容，完全响应得5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供应商2022年1月至今(以签订合同业绩，每提供一个类似业绩得2分，最高得12分。（以磋商响应文件中合同或合同关键页（必须含封面、内容、签订时间、盖章签字页等信息））</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详见附件：技术服务合同.docx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