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版本号：ZDJ125-022ZSA20250625001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陕西省科学院综合业务系统升级项目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ZDJ125-022ZSA</w:t>
      </w:r>
      <w:r>
        <w:br/>
      </w:r>
      <w:r>
        <w:br/>
      </w:r>
      <w:r>
        <w:br/>
      </w:r>
    </w:p>
    <w:p>
      <w:pPr>
        <w:pStyle w:val="null3"/>
        <w:jc w:val="center"/>
        <w:outlineLvl w:val="2"/>
      </w:pPr>
      <w:r>
        <w:rPr>
          <w:rFonts w:ascii="仿宋_GB2312" w:hAnsi="仿宋_GB2312" w:cs="仿宋_GB2312" w:eastAsia="仿宋_GB2312"/>
          <w:sz w:val="28"/>
          <w:b/>
        </w:rPr>
        <w:t>陕西省科学院机关</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陕西省科学院机关</w:t>
      </w:r>
      <w:r>
        <w:rPr>
          <w:rFonts w:ascii="仿宋_GB2312" w:hAnsi="仿宋_GB2312" w:cs="仿宋_GB2312" w:eastAsia="仿宋_GB2312"/>
        </w:rPr>
        <w:t>委托，拟对</w:t>
      </w:r>
      <w:r>
        <w:rPr>
          <w:rFonts w:ascii="仿宋_GB2312" w:hAnsi="仿宋_GB2312" w:cs="仿宋_GB2312" w:eastAsia="仿宋_GB2312"/>
        </w:rPr>
        <w:t>陕西省科学院综合业务系统升级项目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ZDJ125-022ZSA</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陕西省科学院综合业务系统升级项目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科学院综合管理业务系统已在院机关上线运行，实现了对科技项目、科技经费、科技经费成果、办公用品申购、会议管理、督办管理、合同管理、印章审批、考勤管理等工作的信息化管理。现将对该系统进行升级改造，对省院各研究所开放系统功能，同时新增电子公文模块，实现院所两级电子公文交换以及系统各单位内部电子公文流转的业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采购包1（陕西省科学院综合业务管理系统升级项目）：属于专门面向中小企业采购。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陕西省科学院机关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西安市咸宁中路125号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陕西省科学院机关经办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029-83282823/029-83282635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卓腾、王树森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029-82471109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代理服务费收费标准：按照《国家计委印发&lt;招标代理服务收费管理暂行办法&gt;的通知》(计价格〔2002)1980号)收费标准浮动: ①.30万元(包含)以下采购项目下浮22%； ②.30-100万元的采购项目下浮21%； ③.100万元以上的采购项目下浮18%； 由成交单位领取成交通知书前一次付清代理服务费。 开户名称：正大方略工程咨询有限公司西安第一分公司 开户行：交通银行西安友谊西路支行 账号：611301130018150039138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陕西省科学院机关</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陕西省科学院机关</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陕西省科学院机关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联系人：卓腾、王树森</w:t>
      </w:r>
    </w:p>
    <w:p>
      <w:pPr>
        <w:pStyle w:val="null3"/>
      </w:pPr>
      <w:r>
        <w:rPr>
          <w:rFonts w:ascii="仿宋_GB2312" w:hAnsi="仿宋_GB2312" w:cs="仿宋_GB2312" w:eastAsia="仿宋_GB2312"/>
        </w:rPr>
        <w:t>联系电话：029-82471109</w:t>
      </w:r>
    </w:p>
    <w:p>
      <w:pPr>
        <w:pStyle w:val="null3"/>
      </w:pPr>
      <w:r>
        <w:rPr>
          <w:rFonts w:ascii="仿宋_GB2312" w:hAnsi="仿宋_GB2312" w:cs="仿宋_GB2312" w:eastAsia="仿宋_GB2312"/>
        </w:rPr>
        <w:t>地址：西安市雁塔区南二环东段22号（凯森盛世1号）A座26楼2617经营一部</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科学院综合业务管理系统升级项目，主要内容为应将原系统内的所有模块功能，从原本仅为院机关独享的状态，升级改造为可同时服务于陕西科学院机关、陕西省动物研究所、陕西省西安植物园、陕西省微生物研究所、陕西省生物农业研究所这五家机构，从而实现院所两级之间的精细化管理与高效的数据交互。</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综合业务系统升级</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标的名称：综合业务系统升级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54"/>
              <w:jc w:val="both"/>
            </w:pPr>
            <w:r>
              <w:rPr>
                <w:rFonts w:ascii="仿宋_GB2312" w:hAnsi="仿宋_GB2312" w:cs="仿宋_GB2312" w:eastAsia="仿宋_GB2312"/>
                <w:sz w:val="20"/>
              </w:rPr>
              <w:t>应将原系统内的所有模块功能，从原本仅为院机关独享的状态，升级改造为可同时服务于陕西科学院机关、陕西省动物研究所、陕西省西安植物园、陕西省微生物研究所、陕西省生物农业研究所这五家机构，从而实现院所两级之间的精细化管理与高效的数据交互。</w:t>
            </w:r>
          </w:p>
          <w:p>
            <w:pPr>
              <w:pStyle w:val="null3"/>
              <w:numPr>
                <w:ilvl w:val="0"/>
                <w:numId w:val="1"/>
              </w:numPr>
              <w:jc w:val="both"/>
            </w:pPr>
            <w:r>
              <w:rPr>
                <w:rFonts w:ascii="仿宋_GB2312" w:hAnsi="仿宋_GB2312" w:cs="仿宋_GB2312" w:eastAsia="仿宋_GB2312"/>
                <w:sz w:val="20"/>
                <w:b/>
              </w:rPr>
              <w:t>系统易用性要求</w:t>
            </w:r>
          </w:p>
          <w:p>
            <w:pPr>
              <w:pStyle w:val="null3"/>
              <w:numPr>
                <w:ilvl w:val="0"/>
                <w:numId w:val="2"/>
              </w:numPr>
              <w:jc w:val="left"/>
            </w:pPr>
            <w:r>
              <w:rPr>
                <w:rFonts w:ascii="仿宋_GB2312" w:hAnsi="仿宋_GB2312" w:cs="仿宋_GB2312" w:eastAsia="仿宋_GB2312"/>
                <w:sz w:val="20"/>
              </w:rPr>
              <w:t>统一操作界面风格</w:t>
            </w:r>
          </w:p>
          <w:p>
            <w:pPr>
              <w:pStyle w:val="null3"/>
              <w:spacing w:before="30" w:after="90"/>
              <w:ind w:firstLine="401"/>
              <w:jc w:val="left"/>
            </w:pPr>
            <w:r>
              <w:rPr>
                <w:rFonts w:ascii="仿宋_GB2312" w:hAnsi="仿宋_GB2312" w:cs="仿宋_GB2312" w:eastAsia="仿宋_GB2312"/>
                <w:sz w:val="20"/>
              </w:rPr>
              <w:t>为了提升系统的易用性，针对这五家机构的用户，设计统一的操作界面风格。采用简洁、直观的布局，使用户能够迅速定位所需功能。</w:t>
            </w:r>
          </w:p>
          <w:p>
            <w:pPr>
              <w:pStyle w:val="null3"/>
              <w:numPr>
                <w:ilvl w:val="0"/>
                <w:numId w:val="2"/>
              </w:numPr>
              <w:jc w:val="left"/>
            </w:pPr>
            <w:r>
              <w:rPr>
                <w:rFonts w:ascii="仿宋_GB2312" w:hAnsi="仿宋_GB2312" w:cs="仿宋_GB2312" w:eastAsia="仿宋_GB2312"/>
                <w:sz w:val="20"/>
              </w:rPr>
              <w:t>提供操作引导与帮助文档</w:t>
            </w:r>
          </w:p>
          <w:p>
            <w:pPr>
              <w:pStyle w:val="null3"/>
              <w:spacing w:before="30" w:after="90"/>
              <w:ind w:firstLine="401"/>
              <w:jc w:val="left"/>
            </w:pPr>
            <w:r>
              <w:rPr>
                <w:rFonts w:ascii="仿宋_GB2312" w:hAnsi="仿宋_GB2312" w:cs="仿宋_GB2312" w:eastAsia="仿宋_GB2312"/>
                <w:sz w:val="20"/>
              </w:rPr>
              <w:t>在系统内设置操作引导，配备详细的帮助文档，涵盖系统所有功能的使用说明、常见问题解答等内容。帮助文档支持在线查看和下载，方便用户随时查阅。</w:t>
            </w:r>
          </w:p>
          <w:p>
            <w:pPr>
              <w:pStyle w:val="null3"/>
              <w:numPr>
                <w:ilvl w:val="0"/>
                <w:numId w:val="2"/>
              </w:numPr>
              <w:jc w:val="left"/>
            </w:pPr>
            <w:r>
              <w:rPr>
                <w:rFonts w:ascii="仿宋_GB2312" w:hAnsi="仿宋_GB2312" w:cs="仿宋_GB2312" w:eastAsia="仿宋_GB2312"/>
                <w:sz w:val="20"/>
              </w:rPr>
              <w:t>优化搜索功能</w:t>
            </w:r>
          </w:p>
          <w:p>
            <w:pPr>
              <w:pStyle w:val="null3"/>
              <w:spacing w:before="30" w:after="90"/>
              <w:ind w:firstLine="401"/>
              <w:jc w:val="left"/>
            </w:pPr>
            <w:r>
              <w:rPr>
                <w:rFonts w:ascii="仿宋_GB2312" w:hAnsi="仿宋_GB2312" w:cs="仿宋_GB2312" w:eastAsia="仿宋_GB2312"/>
                <w:sz w:val="20"/>
              </w:rPr>
              <w:t>构建强大的搜索功能，使用户能够在整个系统范围内快速搜索到所需的模块、数据或者公文。搜索结果应按照相关性进行排序，并对搜索关键词进行智能联想。</w:t>
            </w:r>
          </w:p>
          <w:p>
            <w:pPr>
              <w:pStyle w:val="null3"/>
              <w:numPr>
                <w:ilvl w:val="0"/>
                <w:numId w:val="1"/>
              </w:numPr>
              <w:jc w:val="both"/>
            </w:pPr>
            <w:r>
              <w:rPr>
                <w:rFonts w:ascii="仿宋_GB2312" w:hAnsi="仿宋_GB2312" w:cs="仿宋_GB2312" w:eastAsia="仿宋_GB2312"/>
                <w:sz w:val="20"/>
                <w:b/>
              </w:rPr>
              <w:t>系统安全性要求</w:t>
            </w:r>
          </w:p>
          <w:p>
            <w:pPr>
              <w:pStyle w:val="null3"/>
              <w:numPr>
                <w:ilvl w:val="0"/>
                <w:numId w:val="2"/>
              </w:numPr>
              <w:spacing w:before="30" w:after="90"/>
              <w:jc w:val="left"/>
            </w:pPr>
            <w:r>
              <w:rPr>
                <w:rFonts w:ascii="仿宋_GB2312" w:hAnsi="仿宋_GB2312" w:cs="仿宋_GB2312" w:eastAsia="仿宋_GB2312"/>
                <w:sz w:val="20"/>
              </w:rPr>
              <w:t>数据备份与恢复策略</w:t>
            </w:r>
          </w:p>
          <w:p>
            <w:pPr>
              <w:pStyle w:val="null3"/>
              <w:spacing w:before="30" w:after="90"/>
              <w:ind w:firstLine="401"/>
              <w:jc w:val="left"/>
            </w:pPr>
            <w:r>
              <w:rPr>
                <w:rFonts w:ascii="仿宋_GB2312" w:hAnsi="仿宋_GB2312" w:cs="仿宋_GB2312" w:eastAsia="仿宋_GB2312"/>
                <w:sz w:val="20"/>
              </w:rPr>
              <w:t>建立完善的数据备份与恢复机制。定期对五家机构的数据进行全量备份和增量备份，在遇到数据丢失或损坏的情况时，能够迅速从备份中恢复数据，确保机构数据的完整性和可用性。</w:t>
            </w:r>
          </w:p>
          <w:p>
            <w:pPr>
              <w:pStyle w:val="null3"/>
              <w:numPr>
                <w:ilvl w:val="0"/>
                <w:numId w:val="2"/>
              </w:numPr>
              <w:spacing w:before="30" w:after="90"/>
              <w:jc w:val="left"/>
            </w:pPr>
            <w:r>
              <w:rPr>
                <w:rFonts w:ascii="仿宋_GB2312" w:hAnsi="仿宋_GB2312" w:cs="仿宋_GB2312" w:eastAsia="仿宋_GB2312"/>
                <w:sz w:val="20"/>
              </w:rPr>
              <w:t>安全审计功能</w:t>
            </w:r>
          </w:p>
          <w:p>
            <w:pPr>
              <w:pStyle w:val="null3"/>
              <w:spacing w:before="30" w:after="90"/>
              <w:ind w:firstLine="401"/>
              <w:jc w:val="left"/>
            </w:pPr>
            <w:r>
              <w:rPr>
                <w:rFonts w:ascii="仿宋_GB2312" w:hAnsi="仿宋_GB2312" w:cs="仿宋_GB2312" w:eastAsia="仿宋_GB2312"/>
                <w:sz w:val="20"/>
              </w:rPr>
              <w:t>对系统内的所有操作进行记录，包括用户登录、数据访问、功能使用等操作。安全审计日志详细记录操作的时间、用户账号、操作内容等信息。通过对审计日志的定期分析，可以及时发现异常操作行为，如非法登录尝试、数据越权访问等，并采取相应的防范措施。</w:t>
            </w:r>
          </w:p>
          <w:p>
            <w:pPr>
              <w:pStyle w:val="null3"/>
              <w:numPr>
                <w:ilvl w:val="0"/>
                <w:numId w:val="1"/>
              </w:numPr>
              <w:spacing w:before="345"/>
              <w:jc w:val="left"/>
            </w:pPr>
            <w:r>
              <w:rPr>
                <w:rFonts w:ascii="仿宋_GB2312" w:hAnsi="仿宋_GB2312" w:cs="仿宋_GB2312" w:eastAsia="仿宋_GB2312"/>
                <w:sz w:val="20"/>
                <w:b/>
              </w:rPr>
              <w:t>公文管理模块技术要求</w:t>
            </w:r>
          </w:p>
          <w:p>
            <w:pPr>
              <w:pStyle w:val="null3"/>
              <w:ind w:firstLine="442"/>
              <w:jc w:val="both"/>
            </w:pPr>
            <w:r>
              <w:rPr>
                <w:rFonts w:ascii="仿宋_GB2312" w:hAnsi="仿宋_GB2312" w:cs="仿宋_GB2312" w:eastAsia="仿宋_GB2312"/>
                <w:sz w:val="20"/>
              </w:rPr>
              <w:t>在已有的系统功能基础之上，额外增添公文管理模块，支撑省院系统单位公文全流程电子化管理，实现发文管理一体化、收文管理智能化，通过更灵活的公文交换、更及时的公文督办以及更迅速的移动公文办理，切实提升办文的效率与质量，推动省院系统单位之间公文办理工作的有序进行。</w:t>
            </w:r>
          </w:p>
          <w:p>
            <w:pPr>
              <w:pStyle w:val="null3"/>
              <w:numPr>
                <w:ilvl w:val="0"/>
                <w:numId w:val="1"/>
              </w:numPr>
              <w:jc w:val="both"/>
            </w:pPr>
            <w:r>
              <w:rPr>
                <w:rFonts w:ascii="仿宋_GB2312" w:hAnsi="仿宋_GB2312" w:cs="仿宋_GB2312" w:eastAsia="仿宋_GB2312"/>
                <w:sz w:val="20"/>
                <w:b/>
              </w:rPr>
              <w:t>功能性要求</w:t>
            </w:r>
          </w:p>
          <w:p>
            <w:pPr>
              <w:pStyle w:val="null3"/>
              <w:ind w:firstLine="400"/>
              <w:jc w:val="both"/>
            </w:pPr>
            <w:r>
              <w:rPr>
                <w:rFonts w:ascii="仿宋_GB2312" w:hAnsi="仿宋_GB2312" w:cs="仿宋_GB2312" w:eastAsia="仿宋_GB2312"/>
                <w:sz w:val="20"/>
              </w:rPr>
              <w:t>在满足公文的安全性、严肃性、规范性要求前提下，利用计算机网络技术、版面处理与控制技术、安全技术等，实现红头文件的起草、制作、分发、接收、阅读、打印、转发和归档等功能，以电子公文传输模式取代传统的纸质公文传输模式。包含以下系统功能：</w:t>
            </w:r>
          </w:p>
          <w:p>
            <w:pPr>
              <w:pStyle w:val="null3"/>
              <w:numPr>
                <w:ilvl w:val="0"/>
                <w:numId w:val="2"/>
              </w:numPr>
              <w:jc w:val="both"/>
            </w:pPr>
            <w:r>
              <w:rPr>
                <w:rFonts w:ascii="仿宋_GB2312" w:hAnsi="仿宋_GB2312" w:cs="仿宋_GB2312" w:eastAsia="仿宋_GB2312"/>
                <w:sz w:val="20"/>
              </w:rPr>
              <w:t>电子公文处理系统</w:t>
            </w:r>
            <w:r>
              <w:rPr>
                <w:rFonts w:ascii="仿宋_GB2312" w:hAnsi="仿宋_GB2312" w:cs="仿宋_GB2312" w:eastAsia="仿宋_GB2312"/>
                <w:sz w:val="20"/>
              </w:rPr>
              <w:t xml:space="preserve"> ；</w:t>
            </w:r>
          </w:p>
          <w:p>
            <w:pPr>
              <w:pStyle w:val="null3"/>
              <w:numPr>
                <w:ilvl w:val="0"/>
                <w:numId w:val="2"/>
              </w:numPr>
              <w:jc w:val="both"/>
            </w:pPr>
            <w:r>
              <w:rPr>
                <w:rFonts w:ascii="仿宋_GB2312" w:hAnsi="仿宋_GB2312" w:cs="仿宋_GB2312" w:eastAsia="仿宋_GB2312"/>
                <w:sz w:val="20"/>
              </w:rPr>
              <w:t>电子公文交换系统；</w:t>
            </w:r>
          </w:p>
          <w:p>
            <w:pPr>
              <w:pStyle w:val="null3"/>
              <w:numPr>
                <w:ilvl w:val="0"/>
                <w:numId w:val="2"/>
              </w:numPr>
              <w:jc w:val="both"/>
            </w:pPr>
            <w:r>
              <w:rPr>
                <w:rFonts w:ascii="仿宋_GB2312" w:hAnsi="仿宋_GB2312" w:cs="仿宋_GB2312" w:eastAsia="仿宋_GB2312"/>
                <w:sz w:val="20"/>
              </w:rPr>
              <w:t>电子公文标准化套件；</w:t>
            </w:r>
          </w:p>
          <w:p>
            <w:pPr>
              <w:pStyle w:val="null3"/>
              <w:numPr>
                <w:ilvl w:val="0"/>
                <w:numId w:val="2"/>
              </w:numPr>
              <w:jc w:val="both"/>
            </w:pPr>
            <w:r>
              <w:rPr>
                <w:rFonts w:ascii="仿宋_GB2312" w:hAnsi="仿宋_GB2312" w:cs="仿宋_GB2312" w:eastAsia="仿宋_GB2312"/>
                <w:sz w:val="20"/>
              </w:rPr>
              <w:t>文字处理软件；</w:t>
            </w:r>
          </w:p>
          <w:p>
            <w:pPr>
              <w:pStyle w:val="null3"/>
              <w:numPr>
                <w:ilvl w:val="0"/>
                <w:numId w:val="2"/>
              </w:numPr>
              <w:jc w:val="both"/>
            </w:pPr>
            <w:r>
              <w:rPr>
                <w:rFonts w:ascii="仿宋_GB2312" w:hAnsi="仿宋_GB2312" w:cs="仿宋_GB2312" w:eastAsia="仿宋_GB2312"/>
                <w:sz w:val="20"/>
              </w:rPr>
              <w:t>版式阅读软件；</w:t>
            </w:r>
          </w:p>
          <w:p>
            <w:pPr>
              <w:pStyle w:val="null3"/>
              <w:numPr>
                <w:ilvl w:val="0"/>
                <w:numId w:val="2"/>
              </w:numPr>
              <w:jc w:val="both"/>
            </w:pPr>
            <w:r>
              <w:rPr>
                <w:rFonts w:ascii="仿宋_GB2312" w:hAnsi="仿宋_GB2312" w:cs="仿宋_GB2312" w:eastAsia="仿宋_GB2312"/>
                <w:sz w:val="20"/>
              </w:rPr>
              <w:t>电子签章和印章组件。</w:t>
            </w:r>
          </w:p>
          <w:p>
            <w:pPr>
              <w:pStyle w:val="null3"/>
              <w:numPr>
                <w:ilvl w:val="0"/>
                <w:numId w:val="1"/>
              </w:numPr>
              <w:jc w:val="both"/>
            </w:pPr>
            <w:r>
              <w:rPr>
                <w:rFonts w:ascii="仿宋_GB2312" w:hAnsi="仿宋_GB2312" w:cs="仿宋_GB2312" w:eastAsia="仿宋_GB2312"/>
                <w:sz w:val="20"/>
                <w:b/>
              </w:rPr>
              <w:t>规范性要求</w:t>
            </w:r>
          </w:p>
          <w:p>
            <w:pPr>
              <w:pStyle w:val="null3"/>
              <w:ind w:firstLine="442"/>
              <w:jc w:val="both"/>
            </w:pPr>
            <w:r>
              <w:rPr>
                <w:rFonts w:ascii="仿宋_GB2312" w:hAnsi="仿宋_GB2312" w:cs="仿宋_GB2312" w:eastAsia="仿宋_GB2312"/>
                <w:sz w:val="20"/>
              </w:rPr>
              <w:t>公文管理模块的设计、建设、实施和测试要满足党政机关电子公文系统的一般性要求、系统架构和系统各组成部分的建设要求等。下列规范性引用文件对于该电子公文管理模块是必不可少的（最新版本适用于本要求）。</w:t>
            </w:r>
          </w:p>
          <w:p>
            <w:pPr>
              <w:pStyle w:val="null3"/>
              <w:numPr>
                <w:ilvl w:val="0"/>
                <w:numId w:val="1"/>
              </w:numPr>
              <w:ind w:left="255"/>
              <w:jc w:val="both"/>
            </w:pPr>
            <w:r>
              <w:rPr>
                <w:rFonts w:ascii="仿宋_GB2312" w:hAnsi="仿宋_GB2312" w:cs="仿宋_GB2312" w:eastAsia="仿宋_GB2312"/>
                <w:sz w:val="20"/>
              </w:rPr>
              <w:t>GB/T 33482-2016《党政机关电子公文系统建设规范》</w:t>
            </w:r>
          </w:p>
          <w:p>
            <w:pPr>
              <w:pStyle w:val="null3"/>
              <w:numPr>
                <w:ilvl w:val="0"/>
                <w:numId w:val="1"/>
              </w:numPr>
              <w:ind w:left="255"/>
              <w:jc w:val="both"/>
            </w:pPr>
            <w:r>
              <w:rPr>
                <w:rFonts w:ascii="仿宋_GB2312" w:hAnsi="仿宋_GB2312" w:cs="仿宋_GB2312" w:eastAsia="仿宋_GB2312"/>
                <w:sz w:val="20"/>
              </w:rPr>
              <w:t>GB/T 9704-2012 党政机关公文格式</w:t>
            </w:r>
          </w:p>
          <w:p>
            <w:pPr>
              <w:pStyle w:val="null3"/>
              <w:numPr>
                <w:ilvl w:val="0"/>
                <w:numId w:val="1"/>
              </w:numPr>
              <w:ind w:left="255"/>
              <w:jc w:val="both"/>
            </w:pPr>
            <w:r>
              <w:rPr>
                <w:rFonts w:ascii="仿宋_GB2312" w:hAnsi="仿宋_GB2312" w:cs="仿宋_GB2312" w:eastAsia="仿宋_GB2312"/>
                <w:sz w:val="20"/>
              </w:rPr>
              <w:t>GB  18030 信息技术 中文编码字符集</w:t>
            </w:r>
          </w:p>
          <w:p>
            <w:pPr>
              <w:pStyle w:val="null3"/>
              <w:numPr>
                <w:ilvl w:val="0"/>
                <w:numId w:val="1"/>
              </w:numPr>
              <w:ind w:left="255"/>
              <w:jc w:val="both"/>
            </w:pPr>
            <w:r>
              <w:rPr>
                <w:rFonts w:ascii="仿宋_GB2312" w:hAnsi="仿宋_GB2312" w:cs="仿宋_GB2312" w:eastAsia="仿宋_GB2312"/>
                <w:sz w:val="20"/>
              </w:rPr>
              <w:t>GB/T 33190-2016 电子文件存储与交换格式 版式文档</w:t>
            </w:r>
          </w:p>
          <w:p>
            <w:pPr>
              <w:pStyle w:val="null3"/>
              <w:numPr>
                <w:ilvl w:val="0"/>
                <w:numId w:val="1"/>
              </w:numPr>
              <w:ind w:left="255"/>
              <w:jc w:val="both"/>
            </w:pPr>
            <w:r>
              <w:rPr>
                <w:rFonts w:ascii="仿宋_GB2312" w:hAnsi="仿宋_GB2312" w:cs="仿宋_GB2312" w:eastAsia="仿宋_GB2312"/>
                <w:sz w:val="20"/>
              </w:rPr>
              <w:t>GB/T 33476.1-2016 党政机关电子公文格式规范第1部分：公文结构</w:t>
            </w:r>
          </w:p>
          <w:p>
            <w:pPr>
              <w:pStyle w:val="null3"/>
              <w:numPr>
                <w:ilvl w:val="0"/>
                <w:numId w:val="1"/>
              </w:numPr>
              <w:ind w:left="255"/>
              <w:jc w:val="both"/>
            </w:pPr>
            <w:r>
              <w:rPr>
                <w:rFonts w:ascii="仿宋_GB2312" w:hAnsi="仿宋_GB2312" w:cs="仿宋_GB2312" w:eastAsia="仿宋_GB2312"/>
                <w:sz w:val="20"/>
              </w:rPr>
              <w:t>GB/T 33476.2-2016 党政机关电子公文格式规范第2部分：显现</w:t>
            </w:r>
          </w:p>
          <w:p>
            <w:pPr>
              <w:pStyle w:val="null3"/>
              <w:numPr>
                <w:ilvl w:val="0"/>
                <w:numId w:val="1"/>
              </w:numPr>
              <w:ind w:left="255"/>
              <w:jc w:val="both"/>
            </w:pPr>
            <w:r>
              <w:rPr>
                <w:rFonts w:ascii="仿宋_GB2312" w:hAnsi="仿宋_GB2312" w:cs="仿宋_GB2312" w:eastAsia="仿宋_GB2312"/>
                <w:sz w:val="20"/>
              </w:rPr>
              <w:t>GB/T 33476.3-2016 党政机关电子公文格式规范第3部分：实施指南</w:t>
            </w:r>
          </w:p>
          <w:p>
            <w:pPr>
              <w:pStyle w:val="null3"/>
              <w:numPr>
                <w:ilvl w:val="0"/>
                <w:numId w:val="1"/>
              </w:numPr>
              <w:ind w:left="255"/>
              <w:jc w:val="both"/>
            </w:pPr>
            <w:r>
              <w:rPr>
                <w:rFonts w:ascii="仿宋_GB2312" w:hAnsi="仿宋_GB2312" w:cs="仿宋_GB2312" w:eastAsia="仿宋_GB2312"/>
                <w:sz w:val="20"/>
              </w:rPr>
              <w:t>GB/T 33477-2016 党政机关电子公文标识规范</w:t>
            </w:r>
          </w:p>
          <w:p>
            <w:pPr>
              <w:pStyle w:val="null3"/>
              <w:numPr>
                <w:ilvl w:val="0"/>
                <w:numId w:val="1"/>
              </w:numPr>
              <w:ind w:left="255"/>
              <w:jc w:val="both"/>
            </w:pPr>
            <w:r>
              <w:rPr>
                <w:rFonts w:ascii="仿宋_GB2312" w:hAnsi="仿宋_GB2312" w:cs="仿宋_GB2312" w:eastAsia="仿宋_GB2312"/>
                <w:sz w:val="20"/>
              </w:rPr>
              <w:t>GB/T 33478-2016党政机关电子公文应用接口规范</w:t>
            </w:r>
          </w:p>
          <w:p>
            <w:pPr>
              <w:pStyle w:val="null3"/>
              <w:numPr>
                <w:ilvl w:val="0"/>
                <w:numId w:val="1"/>
              </w:numPr>
              <w:ind w:left="255"/>
              <w:jc w:val="both"/>
            </w:pPr>
            <w:r>
              <w:rPr>
                <w:rFonts w:ascii="仿宋_GB2312" w:hAnsi="仿宋_GB2312" w:cs="仿宋_GB2312" w:eastAsia="仿宋_GB2312"/>
                <w:sz w:val="20"/>
              </w:rPr>
              <w:t>GB/T 33479-2016 党政机关电子公文交换接口规范</w:t>
            </w:r>
          </w:p>
          <w:p>
            <w:pPr>
              <w:pStyle w:val="null3"/>
              <w:numPr>
                <w:ilvl w:val="0"/>
                <w:numId w:val="1"/>
              </w:numPr>
              <w:ind w:left="255"/>
              <w:jc w:val="both"/>
            </w:pPr>
            <w:r>
              <w:rPr>
                <w:rFonts w:ascii="仿宋_GB2312" w:hAnsi="仿宋_GB2312" w:cs="仿宋_GB2312" w:eastAsia="仿宋_GB2312"/>
                <w:sz w:val="20"/>
              </w:rPr>
              <w:t>GB/T 33480-2016 党政机关电子公文元数据规范</w:t>
            </w:r>
          </w:p>
          <w:p>
            <w:pPr>
              <w:pStyle w:val="null3"/>
              <w:numPr>
                <w:ilvl w:val="0"/>
                <w:numId w:val="1"/>
              </w:numPr>
              <w:ind w:left="255"/>
              <w:jc w:val="both"/>
            </w:pPr>
            <w:r>
              <w:rPr>
                <w:rFonts w:ascii="仿宋_GB2312" w:hAnsi="仿宋_GB2312" w:cs="仿宋_GB2312" w:eastAsia="仿宋_GB2312"/>
                <w:sz w:val="20"/>
              </w:rPr>
              <w:t>GB/T 33481-2016 党政机关电子印章应用规范</w:t>
            </w:r>
          </w:p>
          <w:p>
            <w:pPr>
              <w:pStyle w:val="null3"/>
              <w:numPr>
                <w:ilvl w:val="0"/>
                <w:numId w:val="1"/>
              </w:numPr>
              <w:ind w:left="255"/>
              <w:jc w:val="both"/>
            </w:pPr>
            <w:r>
              <w:rPr>
                <w:rFonts w:ascii="仿宋_GB2312" w:hAnsi="仿宋_GB2312" w:cs="仿宋_GB2312" w:eastAsia="仿宋_GB2312"/>
                <w:sz w:val="20"/>
              </w:rPr>
              <w:t>DA/T 47-2009 版式电子文件长期保存格式需求</w:t>
            </w:r>
          </w:p>
          <w:p>
            <w:pPr>
              <w:pStyle w:val="null3"/>
              <w:numPr>
                <w:ilvl w:val="0"/>
                <w:numId w:val="1"/>
              </w:numPr>
              <w:ind w:left="255"/>
              <w:jc w:val="both"/>
            </w:pPr>
            <w:r>
              <w:rPr>
                <w:rFonts w:ascii="仿宋_GB2312" w:hAnsi="仿宋_GB2312" w:cs="仿宋_GB2312" w:eastAsia="仿宋_GB2312"/>
                <w:sz w:val="20"/>
              </w:rPr>
              <w:t>GB/T 39362—2020 《党政机关电子公文归档规范》</w:t>
            </w:r>
          </w:p>
          <w:p>
            <w:pPr>
              <w:pStyle w:val="null3"/>
              <w:numPr>
                <w:ilvl w:val="0"/>
                <w:numId w:val="1"/>
              </w:numPr>
              <w:jc w:val="both"/>
            </w:pPr>
            <w:r>
              <w:rPr>
                <w:rFonts w:ascii="仿宋_GB2312" w:hAnsi="仿宋_GB2312" w:cs="仿宋_GB2312" w:eastAsia="仿宋_GB2312"/>
                <w:sz w:val="20"/>
                <w:b/>
              </w:rPr>
              <w:t>安全性要求</w:t>
            </w:r>
          </w:p>
          <w:p>
            <w:pPr>
              <w:pStyle w:val="null3"/>
              <w:ind w:firstLine="400"/>
              <w:jc w:val="both"/>
            </w:pPr>
            <w:r>
              <w:rPr>
                <w:rFonts w:ascii="仿宋_GB2312" w:hAnsi="仿宋_GB2312" w:cs="仿宋_GB2312" w:eastAsia="仿宋_GB2312"/>
                <w:sz w:val="20"/>
              </w:rPr>
              <w:t>安全性要求无疑是首先要满足的要求。一方面由于网络环境的广泛性和复杂性等特点，文件在网络传输过程中可能会被截取或者篡改，另一方面内部失密更是需要严加防范的。具体要求如下：</w:t>
            </w:r>
          </w:p>
          <w:p>
            <w:pPr>
              <w:pStyle w:val="null3"/>
              <w:numPr>
                <w:ilvl w:val="0"/>
                <w:numId w:val="2"/>
              </w:numPr>
              <w:jc w:val="both"/>
            </w:pPr>
            <w:r>
              <w:rPr>
                <w:rFonts w:ascii="仿宋_GB2312" w:hAnsi="仿宋_GB2312" w:cs="仿宋_GB2312" w:eastAsia="仿宋_GB2312"/>
                <w:sz w:val="20"/>
              </w:rPr>
              <w:t>公文内容不被非法截取、篡改和伪造；</w:t>
            </w:r>
          </w:p>
          <w:p>
            <w:pPr>
              <w:pStyle w:val="null3"/>
              <w:numPr>
                <w:ilvl w:val="0"/>
                <w:numId w:val="2"/>
              </w:numPr>
              <w:jc w:val="both"/>
            </w:pPr>
            <w:r>
              <w:rPr>
                <w:rFonts w:ascii="仿宋_GB2312" w:hAnsi="仿宋_GB2312" w:cs="仿宋_GB2312" w:eastAsia="仿宋_GB2312"/>
                <w:sz w:val="20"/>
              </w:rPr>
              <w:t>电子签章和印章的安全性。</w:t>
            </w:r>
          </w:p>
          <w:p>
            <w:pPr>
              <w:pStyle w:val="null3"/>
              <w:numPr>
                <w:ilvl w:val="0"/>
                <w:numId w:val="1"/>
              </w:numPr>
              <w:jc w:val="both"/>
            </w:pPr>
            <w:r>
              <w:rPr>
                <w:rFonts w:ascii="仿宋_GB2312" w:hAnsi="仿宋_GB2312" w:cs="仿宋_GB2312" w:eastAsia="仿宋_GB2312"/>
                <w:sz w:val="20"/>
                <w:b/>
              </w:rPr>
              <w:t>公文管理流程要求</w:t>
            </w:r>
          </w:p>
          <w:p>
            <w:pPr>
              <w:pStyle w:val="null3"/>
              <w:jc w:val="both"/>
            </w:pPr>
            <w:r>
              <w:rPr>
                <w:rFonts w:ascii="仿宋_GB2312" w:hAnsi="仿宋_GB2312" w:cs="仿宋_GB2312" w:eastAsia="仿宋_GB2312"/>
                <w:sz w:val="20"/>
              </w:rPr>
              <w:t>依据《陕西省科学院电子公文管理办法》，结合实际业务工作流程，满足起草、审核、复核、签发、登记、印制、核发的基本发文程序要求，设计开发公文管理模块，集成到陕西省科学院综合管理业务系统。</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(一)原系统现状 陕西省科学院综合管理业务系统，主要功能模块包含科技项目管理、科技经费管理、综合办公、用印审批、合同审批、文件共享、报销审批管理、内部交流工具等8个模块，实现了对科技项目、科技经费、成果、办公用品、会议、车辆、督查督办等工作的信息化管理。 (二)原系统架构 (三)原系统功能模块： 1、科技项目管理，内容：信息发布、项目申报（在线申报、在线审核）、项目立项（根据经费申报情况，进行立项审核）、项目执行（执行情况登记、重要事项变更审核等）、项目验收（在线提交验收相关资料等）、项目查询（项目多条件统计、项目详情查询等） 2、科技经费管理，内容：经费申报（按照模板填写经费、在线审批）、经费变更（在线提交经费变更，在线审核、变更记录随时可查）、经费登记（登记已经产生的经费、同步U8中数据）、经费查询（项目经费查询、领导可以查看系统内所有项目的经费情况）、项目基本信息（按照模板录入）、绩效目标、绩效评价 3综合办公（标准模块），内容：办公用品管理：办公用品在线申领、办公用品库存管理、办公用品统计、办公用品采购审批； 会议管理：会议申请、会议纪要、会议室管理、会议统计、会议二维码签到； 车辆管理：车辆使用申请、车辆使用查询、部门审批管理、车辆使用管理、车辆维护管理、车辆信息管理、调度人员管理； 督察督办：督查立项、督查审批、督查办理、公示及通报、督查督办监控； 4、用印审批，内容：用印申请（线上申请）、用印审批、用印统计； 5、合同审批，内容：录入合同基础信息、合同审批、合同统计； 6、报销审批管理，内容：按照固定格式填写分类报销审批单，进行数据填报。 财务报销模块里面，为二期建设预留接口，支持电子发票验真、查重、报销、归档一体化解决方案。通过建立网上报销系统，规范管理，加快报销速度，提高财务人员等相关人员工作效率，增加报销过程透明度，提高信息中心财务管理水平。通过网上报销系统可以优化整个报销流程，支持金蝶、用友等主流厂家的财务软件对接打通财务信息传递过程中的断档。</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验收标准：满足现行的技术规范、规程、要求，达到采购人技术目的，通过采购人审查和验收。 验收方法：采购人按照供应商完成系统升级后、测试与验证、签署验收报告、后期维护等验收。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合同签订后，甲方收到符合要求的发票后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项目完成验收后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1.磋商文件中所属行业为“软件和信息技术服务业”。从业人员300人以下或营业收入10000万元以 下的为中小微型企业。其中，从业人员100人及以上，且营业收入1000万元及以上的 为中型企业；从业人员10人及以上，且营业收入50万元及以上的为小型企业；从业 人员10人以下或营业收入50万元以下的为微型企业。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 1)企业投标的：营业执照 ，2)事业单位投标的：事业单位法人证书，3)其他组织投标的：登记证书，4)个体工商户投标的：个体工商户营业执照，5）自然人投标的：身份证；（2）税收缴纳证明：提供供应商自投标前1年以来已缴纳任意时段完税凭证或税务机关开具的完税证明（任意税种）；依法免税的应提供相关文件证明；（3）社会保障资金缴纳证明：提供供应商自投标前1年以来已缴存的任意时段的社会保障资金缴存单据或社保机构开具的社会保险参保缴费情况证明；依法不需要缴纳社会保障资金的供应商应提供相关文件证明；（4）提供供应商具备履行合同所必需的设备和专业技术能力的证明材料；（5）供应商参加本次采购活动3年内，在经营活动中没有重大违法记录以及未被列入失信被执行人、重大税收违法案件当事人名单、政府采购严重违法失信行为记录名单的书面声明；（6）法定代表人（单位负责人）参加投标的，提供本人身份证；法定代表人（单位负责人）授权他人参加投标的，提供法定代表人委托授权书并出示被授权代表的身份证。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供应商2023年或2024年度经审计的财务会计报告，包括 “四表一注” 或者提供响应文件截止时间前3个月内其基本账户开户银行出具的资信证明；供应商成立不到1年的，可提供企业任意时段财务报表；供应商为公益类事业单位或者自然人的无需提供。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响应文件封面 供应商应提交的资格证明材料 服务内容及服务邀请应答表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按磋商文件要求签署、盖章</w:t>
            </w:r>
          </w:p>
        </w:tc>
        <w:tc>
          <w:tcPr>
            <w:tcW w:type="dxa" w:w="1661"/>
          </w:tcPr>
          <w:p>
            <w:pPr>
              <w:pStyle w:val="null3"/>
            </w:pPr>
            <w:r>
              <w:rPr>
                <w:rFonts w:ascii="仿宋_GB2312" w:hAnsi="仿宋_GB2312" w:cs="仿宋_GB2312" w:eastAsia="仿宋_GB2312"/>
              </w:rPr>
              <w:t>响应文件封面 商务技术资料 供应商应提交的资格证明材料 服务内容及服务邀请应答表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只能有一个有效报价，不得提交选择性报价，且报价不超过磋商文件规定的采购预算或最高限价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自合同签订之日起2年</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服务标准</w:t>
            </w:r>
          </w:p>
        </w:tc>
        <w:tc>
          <w:tcPr>
            <w:tcW w:type="dxa" w:w="3322"/>
          </w:tcPr>
          <w:p>
            <w:pPr>
              <w:pStyle w:val="null3"/>
            </w:pPr>
            <w:r>
              <w:rPr>
                <w:rFonts w:ascii="仿宋_GB2312" w:hAnsi="仿宋_GB2312" w:cs="仿宋_GB2312" w:eastAsia="仿宋_GB2312"/>
              </w:rPr>
              <w:t>满足现行的技术规范、规程、要求，达到采购人技术目的，通过采购人审查和验收。</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权利义务</w:t>
            </w:r>
          </w:p>
        </w:tc>
        <w:tc>
          <w:tcPr>
            <w:tcW w:type="dxa" w:w="3322"/>
          </w:tcPr>
          <w:p>
            <w:pPr>
              <w:pStyle w:val="null3"/>
            </w:pPr>
            <w:r>
              <w:rPr>
                <w:rFonts w:ascii="仿宋_GB2312" w:hAnsi="仿宋_GB2312" w:cs="仿宋_GB2312" w:eastAsia="仿宋_GB2312"/>
              </w:rPr>
              <w:t>符合“拟签订合同交本”条款中实质性要求和条件</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响应文件封面 商务技术资料 服务内容及服务邀请应答表 商务应答表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供应商针对项目特点结合采购人需求制定项目总体实施方案，包括但不限于：①项目背景理解；②项目需求分析；③技术方案（包括系统升级方案、公文管理设计方案）；④系统整体架构设计。二、评审标准：①完整性：方案须全面，对评审内容中的各项要求描述详细；②可实施性：切合本项目实际情况，实施步骤清晰、合理；③针对性：方案能够紧扣项目实际情况，内容科学合理。 三、赋分依据（满分12分）：①项目背景理解：每完全满足一个评审标准得1分，满分3分；针对每条评审标准，如存在不合理的方面扣0.3分，针对每条评审标准，内容与本项目无关或未提供得0分；②项目需求分析:每完全满足一个评审标准得1分，满分3分；针对每条评审标准，如存在不合理的方面扣0.3分，针对每条评审标准，内容与本项目无关或未提供得0分；③技术方案（包括系统升级方案、公文管理设计方案）:每完全满足一个评审标准得1分，满分3分；针对每条评审标准，如存在不合理的方面扣0.3分，针对每条评审标准，内容与本项目无关或未提供得0分；④系统整体架构设计：每完全满足一个评审标准得1分，满分3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一、评审内容：供应商根据磋商文件中的相关服务工作内容，制定详细的服务方案，方案内容包括但不限于：①新功能模块设计；②技术路线方案；③查询优化策略。 二、评审标准：1、完整性：方案须全面，对评审内容中的各项要求描述详细；2、可实施性：切合本项目实际情况，实施步骤清晰、合理；3、针对性：方案能够紧扣项目实际情况，内容科学合理。 三、赋分依据（满分18分）：①新功能模块设计：每完全满足一个评审标准得2分，满分6分，针对每条评审标准，如存在不合理的方面扣0.5分，针对每条评审标准，内容与本项目无关或未提供得0分；②技术路线方案:每完全满足一个评审标准得2分，满分6分；针对每条评审标准，如存在不合理的方面扣0.5分，针对每条评审标准，内容与本项目无关或未提供得0分；③查询优化策略:每完全满足一个评审标准得2分，满分6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w:t>
            </w:r>
          </w:p>
        </w:tc>
      </w:tr>
      <w:tr>
        <w:tc>
          <w:tcPr>
            <w:tcW w:type="dxa" w:w="831"/>
            <w:vMerge/>
          </w:tcPr>
          <w:p/>
        </w:tc>
        <w:tc>
          <w:tcPr>
            <w:tcW w:type="dxa" w:w="1661"/>
          </w:tcPr>
          <w:p>
            <w:pPr>
              <w:pStyle w:val="null3"/>
            </w:pPr>
            <w:r>
              <w:rPr>
                <w:rFonts w:ascii="仿宋_GB2312" w:hAnsi="仿宋_GB2312" w:cs="仿宋_GB2312" w:eastAsia="仿宋_GB2312"/>
              </w:rPr>
              <w:t>功能实现</w:t>
            </w:r>
          </w:p>
        </w:tc>
        <w:tc>
          <w:tcPr>
            <w:tcW w:type="dxa" w:w="2492"/>
          </w:tcPr>
          <w:p>
            <w:pPr>
              <w:pStyle w:val="null3"/>
            </w:pPr>
            <w:r>
              <w:rPr>
                <w:rFonts w:ascii="仿宋_GB2312" w:hAnsi="仿宋_GB2312" w:cs="仿宋_GB2312" w:eastAsia="仿宋_GB2312"/>
              </w:rPr>
              <w:t>一、评审内容：供应商应充分了解本项目的功能需求，满足招标文件功能要求，并保证本项目顺利进行。包含但不限于①项目需求分析；②功能实现。 二.评审标准：①合理性：分析切合实际，、思路清晰，科学合理。②针对性：满足项目需求，实施措施详细可行。 三.赋分标准（满分12分） ①项目需求分析。每完全满足一项评审标准得3分，满分6分，针对每条评审标准，如存在不合理的方面扣1分，针对每条评审标准，内容与本项目无关或未提供得0分； ②功能实现。每完全满足一项评审标准得3分，满分6分，针对每条评审标准，如存在不合理的方面扣1分，针对每条评审标准，内容与本项目无关或未提供得0分；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w:t>
            </w:r>
          </w:p>
        </w:tc>
      </w:tr>
      <w:tr>
        <w:tc>
          <w:tcPr>
            <w:tcW w:type="dxa" w:w="831"/>
            <w:vMerge/>
          </w:tcPr>
          <w:p/>
        </w:tc>
        <w:tc>
          <w:tcPr>
            <w:tcW w:type="dxa" w:w="1661"/>
          </w:tcPr>
          <w:p>
            <w:pPr>
              <w:pStyle w:val="null3"/>
            </w:pPr>
            <w:r>
              <w:rPr>
                <w:rFonts w:ascii="仿宋_GB2312" w:hAnsi="仿宋_GB2312" w:cs="仿宋_GB2312" w:eastAsia="仿宋_GB2312"/>
              </w:rPr>
              <w:t>工作进度计划及进度保证措施</w:t>
            </w:r>
          </w:p>
        </w:tc>
        <w:tc>
          <w:tcPr>
            <w:tcW w:type="dxa" w:w="2492"/>
          </w:tcPr>
          <w:p>
            <w:pPr>
              <w:pStyle w:val="null3"/>
            </w:pPr>
            <w:r>
              <w:rPr>
                <w:rFonts w:ascii="仿宋_GB2312" w:hAnsi="仿宋_GB2312" w:cs="仿宋_GB2312" w:eastAsia="仿宋_GB2312"/>
              </w:rPr>
              <w:t>一、评审内容：根据供应商响应标文件中的针对本项目提供确保本项目进度的技术组织措施，综合评价，包含但不限于①工作进度计划；②进度保证措施。 二.评审标准： ①合理性：项目切合实际，进度控制合理、思路清晰，科学合理。 ②针对性：方案编制紧扣项目特点和采购需求，针对性强，整体性高。 三.赋分标准（满分8分） ①工作进度计划，每完全满足一项评审标准得2分，此评审满分4分，针对每条评审标准，如存在不合理的方面扣0.5分，针对每条评审标准，内容与本项目无关或未提供得0分； ②进度保证措施，每完全满足一项评审标准得2分，此评审满分4分，针对每条评审标准，如存在不合理的方面扣0.5分，针对每条评审标准，内容与本项目无关或未提供得0分；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根据本项目服务内容及要求编制质量保障措施：质量保证措施方案有效可行、具备完善的内部管理架构、工作流程、信息反馈渠道，包含但不限于①质量保证措施方案；②完善的内部管理架构、工作流程、信息反馈渠道。 二.评审标准： ①合理性：具备完善的内部管理架构、工作流程、信息反馈渠道、思路清晰，科学合理。 ②针对性：质量保证安排合理，措施描述完整、可操作性强。 三.赋分标准：（满分6分） ①质量保证措施方案，每完全满足一条评审标准得1.5分，满分3分；针对每条评审标准，如存在不合理的方面，扣0.5分；针对每条评审标准，方案内容与本项目无关或未提供的得0分。 ②完善的内部管理架构、工作流程、信息反馈渠道，每完全满足一条评审标准得1.5分，满分3分；针对每条评审标准，如存在不合理的方面，扣0.5分；针对每条评审标准，方案内容与本项目无关或未提供的得0分。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拟派本项目人员团队</w:t>
            </w:r>
          </w:p>
        </w:tc>
        <w:tc>
          <w:tcPr>
            <w:tcW w:type="dxa" w:w="2492"/>
          </w:tcPr>
          <w:p>
            <w:pPr>
              <w:pStyle w:val="null3"/>
            </w:pPr>
            <w:r>
              <w:rPr>
                <w:rFonts w:ascii="仿宋_GB2312" w:hAnsi="仿宋_GB2312" w:cs="仿宋_GB2312" w:eastAsia="仿宋_GB2312"/>
              </w:rPr>
              <w:t>一、评审内容：供应商提供拟派本项目工作人员组成情况（有具体成员名单，包括姓名、工作经验、工作职责、联系方式等） 二、评审标准 ①完整性：组织机构的运行配备完善、各岗位人员分工明确合理。 ②针对性：人员数量充足，人员资格/年龄等符合采购需求； ③专业性：人员相关岗位经验丰富，切合本项目实际情况。 三、赋分标准（满分6分） 每完全满足一项评审标准得2分，满分6分。针对每条评审标准，如存在不合理的方面，扣0.5分；针对每条评审标准，内容与本项目无关或未提供的得0分。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一、评审内容： 供应商提供针对本项目的运维服务方案，内容包含： ①运维服务计划安排； ②日常巡检与安全防护； ③重要（特殊）时期的运维保障。 二、评审标准 ①完整性：方案必须全面，对评审内容中的各项要求有详细描述； ②可实施性：切合本项目实际情况，提出步骤清晰、合理的方案； ③针对性：方案能够紧扣项目实际情况，内容科学合理。 三、赋分标准（9分） ①运维服务计划安排：每满足一项评审标准得1分，满分3分；针对每条评审标准，如存在不合理的方面扣0.3分，针对每条评审标准，内容与本项目无关或未提供得0分； ②日常巡检与安全防护：每满足一项评审标准得1分，满分3分；针对每条评审标准，如存在不合理的方面扣0.3分，针对每条评审标准，内容与本项目无关或未提供得0分； ③重要（特殊）时期的运维保障：每满足一项评审标准得1分，满分3分；针对每条评审标准，如存在不合理的方面扣0.3分，针对每条评审标准，内容与本项目无关或未提供得0分。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商务技术资料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技术文件编写质量</w:t>
            </w:r>
          </w:p>
        </w:tc>
        <w:tc>
          <w:tcPr>
            <w:tcW w:type="dxa" w:w="2492"/>
          </w:tcPr>
          <w:p>
            <w:pPr>
              <w:pStyle w:val="null3"/>
            </w:pPr>
            <w:r>
              <w:rPr>
                <w:rFonts w:ascii="仿宋_GB2312" w:hAnsi="仿宋_GB2312" w:cs="仿宋_GB2312" w:eastAsia="仿宋_GB2312"/>
              </w:rPr>
              <w:t>一．评审内容：技术文件编写质量。技术文件符合招标文件规定的要求，内容完整、无差错。 二.评审标准:①编制规范、格式工整、主题突出；②响应偏离、评分要素等内容检索快速准确. 三、赋分依据（满分6分） 每完全满足一项评审标准得3分，满分6分。针对每条评审标准，如有个别处差错，不影响对表述内容的理解，扣0.5分；针对每条评审标准，有过多差错或存在过多与投标要求无关的内容，或有影响审阅、理解的重要错误，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提供2022年1月1日至今，（以合同签订日期为准）类似项目业绩合同，附业绩合同复印件加盖公章，每份 2 分，满分8分，否则得0分。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商务技术资料</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满足磋商文件要求且磋商价格最低的磋商报价为评标基准价，其价格分为满分。最低磋商报价不是中标的唯一依据。因落实政府采购政策进行价格调整的，以调整后的价格计算评标基准价和磋商报价，价格分按照下列公式计算。 磋商报价得分=（评标基准价／最后磋商报价）×100×15%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详见附件：合同模板新.docx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