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版本号：ZX2025-06-1120250618001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数据分级分类服务项目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ZX2025-06-11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数据分级分类服务项目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ZX2025-06-11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数据分级分类服务项目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数据分级分类服务项目，1项，具体内容详见磋商文件第3章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采购包1（数据分级分类服务项目）：属于专门面向中小企业采购。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1、法定代表人授权委托书：法定代表人授权委托书：法定代表人参加磋商的，须提供法定代表人身份证复印件；法定代表人授权本单位他人参加磋商的，须提供法定代表人授权委托书。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段敏 周楚杰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采购包1：498,960.00元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采购包1保证金金额：9,006.11元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段敏</w:t>
      </w:r>
    </w:p>
    <w:p>
      <w:pPr>
        <w:pStyle w:val="null3"/>
      </w:pPr>
      <w:r>
        <w:rPr>
          <w:rFonts w:ascii="仿宋_GB2312" w:hAnsi="仿宋_GB2312" w:cs="仿宋_GB2312" w:eastAsia="仿宋_GB2312"/>
        </w:rPr>
        <w:t>联系电话：029-88110800转8029（532772190@qq.com）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数据分级分类服务项目，1项，具体内容详见采购需求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498,960.00</w:t>
      </w:r>
    </w:p>
    <w:p>
      <w:pPr>
        <w:pStyle w:val="null3"/>
      </w:pPr>
      <w:r>
        <w:rPr>
          <w:rFonts w:ascii="仿宋_GB2312" w:hAnsi="仿宋_GB2312" w:cs="仿宋_GB2312" w:eastAsia="仿宋_GB2312"/>
        </w:rPr>
        <w:t>采购包最高限价（元）: 498,960.00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陕西省市场监督管理局数据分级分类服务项目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498,960.00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标的名称：陕西省市场监督管理局数据分级分类服务项目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1.项目概述</w:t>
            </w:r>
          </w:p>
          <w:p>
            <w:pPr>
              <w:pStyle w:val="null3"/>
            </w:pPr>
            <w:r>
              <w:rPr>
                <w:rFonts w:ascii="仿宋_GB2312" w:hAnsi="仿宋_GB2312" w:cs="仿宋_GB2312" w:eastAsia="仿宋_GB2312"/>
              </w:rPr>
              <w:t>1.1.项目名称</w:t>
            </w:r>
          </w:p>
          <w:p>
            <w:pPr>
              <w:pStyle w:val="null3"/>
            </w:pPr>
            <w:r>
              <w:rPr>
                <w:rFonts w:ascii="仿宋_GB2312" w:hAnsi="仿宋_GB2312" w:cs="仿宋_GB2312" w:eastAsia="仿宋_GB2312"/>
              </w:rPr>
              <w:t>陕西省市场监督管理局数据分级分类服务项目</w:t>
            </w:r>
          </w:p>
          <w:p>
            <w:pPr>
              <w:pStyle w:val="null3"/>
            </w:pPr>
            <w:r>
              <w:rPr>
                <w:rFonts w:ascii="仿宋_GB2312" w:hAnsi="仿宋_GB2312" w:cs="仿宋_GB2312" w:eastAsia="仿宋_GB2312"/>
              </w:rPr>
              <w:t>1.2.项目简介</w:t>
            </w:r>
          </w:p>
          <w:p>
            <w:pPr>
              <w:pStyle w:val="null3"/>
            </w:pPr>
            <w:r>
              <w:rPr>
                <w:rFonts w:ascii="仿宋_GB2312" w:hAnsi="仿宋_GB2312" w:cs="仿宋_GB2312" w:eastAsia="仿宋_GB2312"/>
              </w:rPr>
              <w:t>本项目是在数据分级分类前期建设的基础上进行优化，数据分级分类项目前期主要是以数据资产梳理服务、分级分类标识服务、分级分类咨询服务和数据安全策略规划服务为核心，完成了登记注册、信用监管、产品质检、执法办案、食品安全、特种设备等核心业务域的结构化数据分级分类工作，形成了标准化治理框架，主要通过实施咨询服务输出各种清单、规范、操作指南、策略方案等交付物。</w:t>
            </w:r>
          </w:p>
          <w:p>
            <w:pPr>
              <w:pStyle w:val="null3"/>
            </w:pPr>
            <w:r>
              <w:rPr>
                <w:rFonts w:ascii="仿宋_GB2312" w:hAnsi="仿宋_GB2312" w:cs="仿宋_GB2312" w:eastAsia="仿宋_GB2312"/>
              </w:rPr>
              <w:t>通过对前期项目的建设，初步构建了省局符合国家标准的数据分级分类标准化框架，强化了数据的安全合规性，通过分级标识和策略规划，降低了数据泄露风险，对于业务处室及人员来说，结构化分类使跨部门数据调用更加高效便捷，分级标识明确了数据敏感级别，帮助业务人员快速识别需重点保护的数据项，也为后续的数据开放共享提供相应支撑。</w:t>
            </w:r>
          </w:p>
          <w:p>
            <w:pPr>
              <w:pStyle w:val="null3"/>
            </w:pPr>
            <w:r>
              <w:rPr>
                <w:rFonts w:ascii="仿宋_GB2312" w:hAnsi="仿宋_GB2312" w:cs="仿宋_GB2312" w:eastAsia="仿宋_GB2312"/>
              </w:rPr>
              <w:t>近年来，国家通过法规与标准构建了数据分级分类的顶层设计框架，地方层面需结合业务场景深化国家要求。自2024年以来国家政策逐渐形成“国家顶层设计+行业细则+地方实践”的三层联动体系，即通过国家标准统一框架，又通过地方政策探索场景化应用，为数据分级分类工作提供核心支撑，各行业需快速适配国家标准，结合业务场景细化分类规则，深化落实数据分级分类工作，满足国家监管合规要求。</w:t>
            </w:r>
          </w:p>
          <w:p>
            <w:pPr>
              <w:pStyle w:val="null3"/>
            </w:pPr>
            <w:r>
              <w:rPr>
                <w:rFonts w:ascii="仿宋_GB2312" w:hAnsi="仿宋_GB2312" w:cs="仿宋_GB2312" w:eastAsia="仿宋_GB2312"/>
              </w:rPr>
              <w:t>随着数字经济的快速发展，数据作为一种新型生产要素，其价值和作用日益受到重视。随着国家数据局、各省数据交易所的确立，数据要素市场体系逐渐规范，整个社会的数据要素化和资产化的进程加快，更加强化数据合规与安全管理。</w:t>
            </w:r>
          </w:p>
          <w:p>
            <w:pPr>
              <w:pStyle w:val="null3"/>
            </w:pPr>
            <w:r>
              <w:rPr>
                <w:rFonts w:ascii="仿宋_GB2312" w:hAnsi="仿宋_GB2312" w:cs="仿宋_GB2312" w:eastAsia="仿宋_GB2312"/>
              </w:rPr>
              <w:t>2019年，中国共产党第十九届中央委员会第四次全体会议首次将数据纳入生产要素，2022年中共中央、国务院印发了《关于构建数据基础制度更好发挥数据要素作用的意见》，提出了探索数据资产入表新模式。2023年，财政部印发了《企业数据资源相关会计处理暂行规定》，明确了数据资源的确认范围和会计处理准则，并于2024年1月1日起施行，数据资产入表成为企业核心竞争力的体现。截至2024年8月31日，已有64家上市公司在半年报中披露了数据资源入表情况，入表总额合计14.02亿元。同时，在省局内部，大数据分析和跨业务数据共享类应用需求也不断增长，需要同步提升数据安全管理能力，以协助数据资产应用、流通、聚合分析等价值实现。</w:t>
            </w:r>
          </w:p>
          <w:p>
            <w:pPr>
              <w:pStyle w:val="null3"/>
            </w:pPr>
            <w:r>
              <w:rPr>
                <w:rFonts w:ascii="仿宋_GB2312" w:hAnsi="仿宋_GB2312" w:cs="仿宋_GB2312" w:eastAsia="仿宋_GB2312"/>
              </w:rPr>
              <w:t>2024年国内外AI大模型技术快速发展，在这一背景下，数据已成为国家战略资源与核心生产要素，其安全管理和分级分类的紧迫性显著提升。唯有通过技术革新、制度完善，才能实现数据“安全可控”与“高效利用”的双重目标，为国家安全与数字经济发展筑牢防线。</w:t>
            </w:r>
          </w:p>
          <w:p>
            <w:pPr>
              <w:pStyle w:val="null3"/>
            </w:pPr>
            <w:r>
              <w:rPr>
                <w:rFonts w:ascii="仿宋_GB2312" w:hAnsi="仿宋_GB2312" w:cs="仿宋_GB2312" w:eastAsia="仿宋_GB2312"/>
              </w:rPr>
              <w:t>1.3.服务内容</w:t>
            </w:r>
          </w:p>
          <w:p>
            <w:pPr>
              <w:pStyle w:val="null3"/>
            </w:pPr>
            <w:r>
              <w:rPr>
                <w:rFonts w:ascii="仿宋_GB2312" w:hAnsi="仿宋_GB2312" w:cs="仿宋_GB2312" w:eastAsia="仿宋_GB2312"/>
              </w:rPr>
              <w:t>1.自动化分级分类服务：实现增量数据纳管，提升智能自动化覆盖率。</w:t>
            </w:r>
          </w:p>
          <w:p>
            <w:pPr>
              <w:pStyle w:val="null3"/>
            </w:pPr>
            <w:r>
              <w:rPr>
                <w:rFonts w:ascii="仿宋_GB2312" w:hAnsi="仿宋_GB2312" w:cs="仿宋_GB2312" w:eastAsia="仿宋_GB2312"/>
              </w:rPr>
              <w:t>2.数据分级分类工具平台优化服务：实现规则灵活配置、流程可追踪、资产可量化。</w:t>
            </w:r>
          </w:p>
          <w:p>
            <w:pPr>
              <w:pStyle w:val="null3"/>
            </w:pPr>
            <w:r>
              <w:rPr>
                <w:rFonts w:ascii="仿宋_GB2312" w:hAnsi="仿宋_GB2312" w:cs="仿宋_GB2312" w:eastAsia="仿宋_GB2312"/>
              </w:rPr>
              <w:t>3.知识库建设服务：在已有数据分级分类工具平台建设知识库板块。</w:t>
            </w:r>
          </w:p>
          <w:p>
            <w:pPr>
              <w:pStyle w:val="null3"/>
            </w:pPr>
            <w:r>
              <w:rPr>
                <w:rFonts w:ascii="仿宋_GB2312" w:hAnsi="仿宋_GB2312" w:cs="仿宋_GB2312" w:eastAsia="仿宋_GB2312"/>
              </w:rPr>
              <w:t>4.动态资产纳管服务：拓宽数据分级分类范围，适配多种类数据资产，满足实际业务场景需求。</w:t>
            </w:r>
          </w:p>
          <w:p>
            <w:pPr>
              <w:pStyle w:val="null3"/>
            </w:pPr>
            <w:r>
              <w:rPr>
                <w:rFonts w:ascii="仿宋_GB2312" w:hAnsi="仿宋_GB2312" w:cs="仿宋_GB2312" w:eastAsia="仿宋_GB2312"/>
              </w:rPr>
              <w:t>5.资产可视化优化服务：构建多维度数据视图，支持安全防护与业务应用的双视角分析。</w:t>
            </w:r>
          </w:p>
          <w:p>
            <w:pPr>
              <w:pStyle w:val="null3"/>
            </w:pPr>
            <w:r>
              <w:rPr>
                <w:rFonts w:ascii="仿宋_GB2312" w:hAnsi="仿宋_GB2312" w:cs="仿宋_GB2312" w:eastAsia="仿宋_GB2312"/>
              </w:rPr>
              <w:t>6.更新迭代咨询、标识等服务相关文档资料：包括数据分级分类咨询服务、标识服务、策略规划服务、资产梳理服务等的相关文档资料。</w:t>
            </w:r>
          </w:p>
          <w:p>
            <w:pPr>
              <w:pStyle w:val="null3"/>
            </w:pPr>
            <w:r>
              <w:rPr>
                <w:rFonts w:ascii="仿宋_GB2312" w:hAnsi="仿宋_GB2312" w:cs="仿宋_GB2312" w:eastAsia="仿宋_GB2312"/>
              </w:rPr>
              <w:t>1.4.服务目标</w:t>
            </w:r>
          </w:p>
          <w:p>
            <w:pPr>
              <w:pStyle w:val="null3"/>
            </w:pPr>
            <w:r>
              <w:rPr>
                <w:rFonts w:ascii="仿宋_GB2312" w:hAnsi="仿宋_GB2312" w:cs="仿宋_GB2312" w:eastAsia="仿宋_GB2312"/>
              </w:rPr>
              <w:t>通过对陕西省市场监督管理局数据分级分类服务项目的建设，提升省局数据分级分类的整体智能化、自动化水平，实现数据分级分类准确率的大幅提升，达到动态治理的能力，通过规则灵活配置与全流程日志监控，实现合规和效率的双提升，也使数据分级分类工作可审计，明确个人权限和责任。对于业务处室及相关人员来说，能更加快速的定位高价值数据，跨部门协作效率大幅提升，也可帮助相关处室提前识别敏感数据的泄露风险，大幅强化了数据安全底线，也为数据要素市场化流通奠定基础。</w:t>
            </w:r>
          </w:p>
          <w:p>
            <w:pPr>
              <w:pStyle w:val="null3"/>
            </w:pPr>
            <w:r>
              <w:rPr>
                <w:rFonts w:ascii="仿宋_GB2312" w:hAnsi="仿宋_GB2312" w:cs="仿宋_GB2312" w:eastAsia="仿宋_GB2312"/>
              </w:rPr>
              <w:t>聚焦于技术深化、动态治理、智能应用、协同共享，构建可持续的数据安全治理体系，提升数据价值释放能力，满足监管合规与业务发展需求。</w:t>
            </w:r>
          </w:p>
          <w:p>
            <w:pPr>
              <w:pStyle w:val="null3"/>
            </w:pPr>
            <w:r>
              <w:rPr>
                <w:rFonts w:ascii="仿宋_GB2312" w:hAnsi="仿宋_GB2312" w:cs="仿宋_GB2312" w:eastAsia="仿宋_GB2312"/>
              </w:rPr>
              <w:t>自动化分级分类服务：实现增量数据纳管，提升智能自动化覆盖率。</w:t>
            </w:r>
          </w:p>
          <w:p>
            <w:pPr>
              <w:pStyle w:val="null3"/>
            </w:pPr>
            <w:r>
              <w:rPr>
                <w:rFonts w:ascii="仿宋_GB2312" w:hAnsi="仿宋_GB2312" w:cs="仿宋_GB2312" w:eastAsia="仿宋_GB2312"/>
              </w:rPr>
              <w:t>数据分级分类工具平台优化服务：实现规则灵活配置、流程可追踪、资产可量化。</w:t>
            </w:r>
          </w:p>
          <w:p>
            <w:pPr>
              <w:pStyle w:val="null3"/>
            </w:pPr>
            <w:r>
              <w:rPr>
                <w:rFonts w:ascii="仿宋_GB2312" w:hAnsi="仿宋_GB2312" w:cs="仿宋_GB2312" w:eastAsia="仿宋_GB2312"/>
              </w:rPr>
              <w:t>知识库建设服务：在已有数据分级分类工具平台建设知识库板块。</w:t>
            </w:r>
          </w:p>
          <w:p>
            <w:pPr>
              <w:pStyle w:val="null3"/>
            </w:pPr>
            <w:r>
              <w:rPr>
                <w:rFonts w:ascii="仿宋_GB2312" w:hAnsi="仿宋_GB2312" w:cs="仿宋_GB2312" w:eastAsia="仿宋_GB2312"/>
              </w:rPr>
              <w:t>动态资产纳管服务：拓宽数据分级分类范围，适配多种类数据资产，满足实际业务场景需求。</w:t>
            </w:r>
          </w:p>
          <w:p>
            <w:pPr>
              <w:pStyle w:val="null3"/>
            </w:pPr>
            <w:r>
              <w:rPr>
                <w:rFonts w:ascii="仿宋_GB2312" w:hAnsi="仿宋_GB2312" w:cs="仿宋_GB2312" w:eastAsia="仿宋_GB2312"/>
              </w:rPr>
              <w:t>资产可视化优化服务：构建多维度数据视图，支持安全防护与业务应用的双视角分析。</w:t>
            </w:r>
          </w:p>
          <w:p>
            <w:pPr>
              <w:pStyle w:val="null3"/>
            </w:pPr>
            <w:r>
              <w:rPr>
                <w:rFonts w:ascii="仿宋_GB2312" w:hAnsi="仿宋_GB2312" w:cs="仿宋_GB2312" w:eastAsia="仿宋_GB2312"/>
              </w:rPr>
              <w:t>更新迭代咨询、标识等服务相关文档资料：包括数据分级分类咨询服务、标识服务、策略规划服务、资产梳理服务等的相关文档资料。</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1.5.建设依据</w:t>
            </w:r>
          </w:p>
          <w:p>
            <w:pPr>
              <w:pStyle w:val="null3"/>
            </w:pPr>
            <w:r>
              <w:rPr>
                <w:rFonts w:ascii="仿宋_GB2312" w:hAnsi="仿宋_GB2312" w:cs="仿宋_GB2312" w:eastAsia="仿宋_GB2312"/>
              </w:rPr>
              <w:t>《中华人民共和国数据安全法》</w:t>
            </w:r>
          </w:p>
          <w:p>
            <w:pPr>
              <w:pStyle w:val="null3"/>
            </w:pPr>
            <w:r>
              <w:rPr>
                <w:rFonts w:ascii="仿宋_GB2312" w:hAnsi="仿宋_GB2312" w:cs="仿宋_GB2312" w:eastAsia="仿宋_GB2312"/>
              </w:rPr>
              <w:t>《市场监管数据分级分类管理规则（试行）》</w:t>
            </w:r>
          </w:p>
          <w:p>
            <w:pPr>
              <w:pStyle w:val="null3"/>
            </w:pPr>
            <w:r>
              <w:rPr>
                <w:rFonts w:ascii="仿宋_GB2312" w:hAnsi="仿宋_GB2312" w:cs="仿宋_GB2312" w:eastAsia="仿宋_GB2312"/>
              </w:rPr>
              <w:t>《陕西省市场监管数据分级分类管理规则（试行）》</w:t>
            </w:r>
          </w:p>
          <w:p>
            <w:pPr>
              <w:pStyle w:val="null3"/>
            </w:pPr>
            <w:r>
              <w:rPr>
                <w:rFonts w:ascii="仿宋_GB2312" w:hAnsi="仿宋_GB2312" w:cs="仿宋_GB2312" w:eastAsia="仿宋_GB2312"/>
              </w:rPr>
              <w:t>《网络安全标准实践指南——网络数据分级分类指引》</w:t>
            </w:r>
          </w:p>
          <w:p>
            <w:pPr>
              <w:pStyle w:val="null3"/>
            </w:pPr>
            <w:r>
              <w:rPr>
                <w:rFonts w:ascii="仿宋_GB2312" w:hAnsi="仿宋_GB2312" w:cs="仿宋_GB2312" w:eastAsia="仿宋_GB2312"/>
              </w:rPr>
              <w:t>《信息安全技术 网络数据分级分类要求》</w:t>
            </w:r>
          </w:p>
          <w:p>
            <w:pPr>
              <w:pStyle w:val="null3"/>
            </w:pPr>
            <w:r>
              <w:rPr>
                <w:rFonts w:ascii="仿宋_GB2312" w:hAnsi="仿宋_GB2312" w:cs="仿宋_GB2312" w:eastAsia="仿宋_GB2312"/>
              </w:rPr>
              <w:t>《数据安全技术 数据分级分类规则》GB/T 43697-2024</w:t>
            </w:r>
          </w:p>
          <w:p>
            <w:pPr>
              <w:pStyle w:val="null3"/>
            </w:pPr>
            <w:r>
              <w:rPr>
                <w:rFonts w:ascii="仿宋_GB2312" w:hAnsi="仿宋_GB2312" w:cs="仿宋_GB2312" w:eastAsia="仿宋_GB2312"/>
              </w:rPr>
              <w:t>《政府数据 数据分级分类指南（DB 52/T 1123—2016）》</w:t>
            </w:r>
          </w:p>
          <w:p>
            <w:pPr>
              <w:pStyle w:val="null3"/>
            </w:pPr>
            <w:r>
              <w:rPr>
                <w:rFonts w:ascii="仿宋_GB2312" w:hAnsi="仿宋_GB2312" w:cs="仿宋_GB2312" w:eastAsia="仿宋_GB2312"/>
              </w:rPr>
              <w:t>《数字化改革 公共数据分级分类指南（DB33/T 2351—2021）》</w:t>
            </w:r>
          </w:p>
          <w:p>
            <w:pPr>
              <w:pStyle w:val="null3"/>
            </w:pPr>
            <w:r>
              <w:rPr>
                <w:rFonts w:ascii="仿宋_GB2312" w:hAnsi="仿宋_GB2312" w:cs="仿宋_GB2312" w:eastAsia="仿宋_GB2312"/>
              </w:rPr>
              <w:t>《政务数据分级分类要求》（DB14/T 2442——2022）</w:t>
            </w:r>
          </w:p>
          <w:p>
            <w:pPr>
              <w:pStyle w:val="null3"/>
            </w:pPr>
            <w:r>
              <w:rPr>
                <w:rFonts w:ascii="仿宋_GB2312" w:hAnsi="仿宋_GB2312" w:cs="仿宋_GB2312" w:eastAsia="仿宋_GB2312"/>
              </w:rPr>
              <w:t>《GB/T43697-2024 数据安全技术 数据安全分级分类规则》</w:t>
            </w:r>
          </w:p>
          <w:p>
            <w:pPr>
              <w:pStyle w:val="null3"/>
            </w:pPr>
            <w:r>
              <w:rPr>
                <w:rFonts w:ascii="仿宋_GB2312" w:hAnsi="仿宋_GB2312" w:cs="仿宋_GB2312" w:eastAsia="仿宋_GB2312"/>
              </w:rPr>
              <w:t>《陕西省市场监督管理局数据分级分类管理办法（初稿）》</w:t>
            </w:r>
          </w:p>
          <w:p>
            <w:pPr>
              <w:pStyle w:val="null3"/>
            </w:pPr>
            <w:r>
              <w:rPr>
                <w:rFonts w:ascii="仿宋_GB2312" w:hAnsi="仿宋_GB2312" w:cs="仿宋_GB2312" w:eastAsia="仿宋_GB2312"/>
              </w:rPr>
              <w:t>《陕西省市场监督管理局数据分级分类标准规范（初稿）》</w:t>
            </w:r>
          </w:p>
          <w:p>
            <w:pPr>
              <w:pStyle w:val="null3"/>
            </w:pPr>
            <w:r>
              <w:rPr>
                <w:rFonts w:ascii="仿宋_GB2312" w:hAnsi="仿宋_GB2312" w:cs="仿宋_GB2312" w:eastAsia="仿宋_GB2312"/>
              </w:rPr>
              <w:t>《陕西省市场监督管理局数据分级分类操作指南（初稿）》</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2.项目服务内容</w:t>
            </w:r>
          </w:p>
          <w:p>
            <w:pPr>
              <w:pStyle w:val="null3"/>
            </w:pPr>
            <w:r>
              <w:rPr>
                <w:rFonts w:ascii="仿宋_GB2312" w:hAnsi="仿宋_GB2312" w:cs="仿宋_GB2312" w:eastAsia="仿宋_GB2312"/>
              </w:rPr>
              <w:t>2.1.数据分级分类服务内容</w:t>
            </w:r>
          </w:p>
          <w:p>
            <w:pPr>
              <w:pStyle w:val="null3"/>
            </w:pPr>
            <w:r>
              <w:rPr>
                <w:rFonts w:ascii="仿宋_GB2312" w:hAnsi="仿宋_GB2312" w:cs="仿宋_GB2312" w:eastAsia="仿宋_GB2312"/>
              </w:rPr>
              <w:t>其中数据分级分类服务内容包括：自动化分级分类服务、数据分级分类工具平台优化服务、知识库建设服务、动态资产纳管服务、资产可视化优化服务、更新迭代咨询、标识等服务相关文档资料。</w:t>
            </w:r>
          </w:p>
          <w:p>
            <w:pPr>
              <w:pStyle w:val="null3"/>
            </w:pPr>
            <w:r>
              <w:rPr>
                <w:rFonts w:ascii="仿宋_GB2312" w:hAnsi="仿宋_GB2312" w:cs="仿宋_GB2312" w:eastAsia="仿宋_GB2312"/>
              </w:rPr>
              <w:t>2.1.1.自动化分级分类服务</w:t>
            </w:r>
          </w:p>
          <w:p>
            <w:pPr>
              <w:pStyle w:val="null3"/>
            </w:pPr>
            <w:r>
              <w:rPr>
                <w:rFonts w:ascii="仿宋_GB2312" w:hAnsi="仿宋_GB2312" w:cs="仿宋_GB2312" w:eastAsia="仿宋_GB2312"/>
              </w:rPr>
              <w:t>智能化分类、分级服务：进行智能分类推荐，并结合省局管理规则和工具平台抽象出来的相关分类分级规则以及通过语义等多项内容的智能化分析，自动生成分级建议。实现数据分级分类全流程推荐智能化。</w:t>
            </w:r>
          </w:p>
          <w:p>
            <w:pPr>
              <w:pStyle w:val="null3"/>
            </w:pPr>
            <w:r>
              <w:rPr>
                <w:rFonts w:ascii="仿宋_GB2312" w:hAnsi="仿宋_GB2312" w:cs="仿宋_GB2312" w:eastAsia="仿宋_GB2312"/>
              </w:rPr>
              <w:t>分级分类结果智能校验服务：对人工分级分类结果进行一致性智能校验：识别异常标签（如低敏感级别数据项被误标为高敏感级别数据项，或高敏感级别数据项被误标为低敏感级别数据项）。</w:t>
            </w:r>
          </w:p>
          <w:p>
            <w:pPr>
              <w:pStyle w:val="null3"/>
            </w:pPr>
            <w:r>
              <w:rPr>
                <w:rFonts w:ascii="仿宋_GB2312" w:hAnsi="仿宋_GB2312" w:cs="仿宋_GB2312" w:eastAsia="仿宋_GB2312"/>
              </w:rPr>
              <w:t>2.1.2.数据分级分类工具平台优化服务</w:t>
            </w:r>
          </w:p>
          <w:p>
            <w:pPr>
              <w:pStyle w:val="null3"/>
            </w:pPr>
            <w:r>
              <w:rPr>
                <w:rFonts w:ascii="仿宋_GB2312" w:hAnsi="仿宋_GB2312" w:cs="仿宋_GB2312" w:eastAsia="仿宋_GB2312"/>
              </w:rPr>
              <w:t>数据资产管理服务：分层展示：全局展示纳管的全部数据资产，分层展示，权限联动，自动发现，元数据采集，差异扫描，自动打标。</w:t>
            </w:r>
          </w:p>
          <w:p>
            <w:pPr>
              <w:pStyle w:val="null3"/>
            </w:pPr>
            <w:r>
              <w:rPr>
                <w:rFonts w:ascii="仿宋_GB2312" w:hAnsi="仿宋_GB2312" w:cs="仿宋_GB2312" w:eastAsia="仿宋_GB2312"/>
              </w:rPr>
              <w:t>优化数据分级分类规则集服务：支持人工配置数据分级分类规则集，自定义数据分级、分类标签功能，业务人员可选择特定对象标签，可选择多个标签名称，明确所属分类及分级，并配置标签匹配规则，描述规则含义，执行批量匹配操作。</w:t>
            </w:r>
          </w:p>
          <w:p>
            <w:pPr>
              <w:pStyle w:val="null3"/>
            </w:pPr>
            <w:r>
              <w:rPr>
                <w:rFonts w:ascii="仿宋_GB2312" w:hAnsi="仿宋_GB2312" w:cs="仿宋_GB2312" w:eastAsia="仿宋_GB2312"/>
              </w:rPr>
              <w:t>智能化识别服务：通过工具平台的相关规则来实现自动化数据分级模式，对数据资产进行分级分类打标，并对新增及调整的部分资源内容进行实时定级提醒，及时输出最新数据分级分类结果清单。</w:t>
            </w:r>
          </w:p>
          <w:p>
            <w:pPr>
              <w:pStyle w:val="null3"/>
            </w:pPr>
            <w:r>
              <w:rPr>
                <w:rFonts w:ascii="仿宋_GB2312" w:hAnsi="仿宋_GB2312" w:cs="仿宋_GB2312" w:eastAsia="仿宋_GB2312"/>
              </w:rPr>
              <w:t>自动打标策略服务：通过自动打标策略，进行初分级分类打标，并记录定级依据，对分级分类打标进行日常监控任务，支持自动化扫描和周期性差异扫描。</w:t>
            </w:r>
          </w:p>
          <w:p>
            <w:pPr>
              <w:pStyle w:val="null3"/>
            </w:pPr>
            <w:r>
              <w:rPr>
                <w:rFonts w:ascii="仿宋_GB2312" w:hAnsi="仿宋_GB2312" w:cs="仿宋_GB2312" w:eastAsia="仿宋_GB2312"/>
              </w:rPr>
              <w:t>微型功能优化服务：支持人工对未匹配标签的数据资产进行自定义标识，并记录操作日志。以及数据量大时支持批量导入自定义标识。</w:t>
            </w:r>
          </w:p>
          <w:p>
            <w:pPr>
              <w:pStyle w:val="null3"/>
            </w:pPr>
            <w:r>
              <w:rPr>
                <w:rFonts w:ascii="仿宋_GB2312" w:hAnsi="仿宋_GB2312" w:cs="仿宋_GB2312" w:eastAsia="仿宋_GB2312"/>
              </w:rPr>
              <w:t>2.1.3.知识库建设服务</w:t>
            </w:r>
          </w:p>
          <w:p>
            <w:pPr>
              <w:pStyle w:val="null3"/>
            </w:pPr>
            <w:r>
              <w:rPr>
                <w:rFonts w:ascii="仿宋_GB2312" w:hAnsi="仿宋_GB2312" w:cs="仿宋_GB2312" w:eastAsia="仿宋_GB2312"/>
              </w:rPr>
              <w:t>按照市监局主要业务领域，包括登记注册、信用监管、产品质检、执法办案、食品安全、特种设备等，在知识库板块分别维护相关信息的数据规范、数据标准、国家市场监督管理局发布的制度信息等，便于针对数据分级分类结果进行深入分析和评判。</w:t>
            </w:r>
          </w:p>
          <w:p>
            <w:pPr>
              <w:pStyle w:val="null3"/>
            </w:pPr>
            <w:r>
              <w:rPr>
                <w:rFonts w:ascii="仿宋_GB2312" w:hAnsi="仿宋_GB2312" w:cs="仿宋_GB2312" w:eastAsia="仿宋_GB2312"/>
              </w:rPr>
              <w:t>2.1.4.动态资产纳管服务</w:t>
            </w:r>
          </w:p>
          <w:p>
            <w:pPr>
              <w:pStyle w:val="null3"/>
            </w:pPr>
            <w:r>
              <w:rPr>
                <w:rFonts w:ascii="仿宋_GB2312" w:hAnsi="仿宋_GB2312" w:cs="仿宋_GB2312" w:eastAsia="仿宋_GB2312"/>
              </w:rPr>
              <w:t>优化配置功能服务：由于后续对接的数据有可能涉及到非单一结构，所以需要优化工具平台的相关配置功能，适配多源异构数据资源，保证正常动态获取多结构元数据。</w:t>
            </w:r>
          </w:p>
          <w:p>
            <w:pPr>
              <w:pStyle w:val="null3"/>
            </w:pPr>
            <w:r>
              <w:rPr>
                <w:rFonts w:ascii="仿宋_GB2312" w:hAnsi="仿宋_GB2312" w:cs="仿宋_GB2312" w:eastAsia="仿宋_GB2312"/>
              </w:rPr>
              <w:t>识别数据资产结构变化服务：对定期从数据中台获取的元数据资产进行筛选过滤，包括所有数据项的数量、中英文名称等，识别出数据资产的结构变化，并进行标记。</w:t>
            </w:r>
          </w:p>
          <w:p>
            <w:pPr>
              <w:pStyle w:val="null3"/>
            </w:pPr>
            <w:r>
              <w:rPr>
                <w:rFonts w:ascii="仿宋_GB2312" w:hAnsi="仿宋_GB2312" w:cs="仿宋_GB2312" w:eastAsia="仿宋_GB2312"/>
              </w:rPr>
              <w:t>2.1.5.资产可视化优化服务</w:t>
            </w:r>
          </w:p>
          <w:p>
            <w:pPr>
              <w:pStyle w:val="null3"/>
            </w:pPr>
            <w:r>
              <w:rPr>
                <w:rFonts w:ascii="仿宋_GB2312" w:hAnsi="仿宋_GB2312" w:cs="仿宋_GB2312" w:eastAsia="仿宋_GB2312"/>
              </w:rPr>
              <w:t>优化数据资产统计服务：以驾驶舱的形式展示数据资产概况、数据分布情况、分级分类打标情况等。</w:t>
            </w:r>
          </w:p>
          <w:p>
            <w:pPr>
              <w:pStyle w:val="null3"/>
            </w:pPr>
            <w:r>
              <w:rPr>
                <w:rFonts w:ascii="仿宋_GB2312" w:hAnsi="仿宋_GB2312" w:cs="仿宋_GB2312" w:eastAsia="仿宋_GB2312"/>
              </w:rPr>
              <w:t>优化数据资产分析服务：可视化展示数据资产总体情况，按权属、工具平台、分类、分级等维度分析数据资产分布、规模、访问热度、共享等统计情况。推进市场主体及监管数据的开放共享，促进企业登记、企业信用信息、食品注册备案、产品质检等公共数据开放和数据资源有效流动。</w:t>
            </w:r>
          </w:p>
          <w:p>
            <w:pPr>
              <w:pStyle w:val="null3"/>
            </w:pPr>
            <w:r>
              <w:rPr>
                <w:rFonts w:ascii="仿宋_GB2312" w:hAnsi="仿宋_GB2312" w:cs="仿宋_GB2312" w:eastAsia="仿宋_GB2312"/>
              </w:rPr>
              <w:t>分级分类情况统计服务：按照不同的分类、分级进行数据资源的分布情况统计，包括未分类资源项，提供详细清单查询，分类，定位未分级资源。</w:t>
            </w:r>
          </w:p>
          <w:p>
            <w:pPr>
              <w:pStyle w:val="null3"/>
            </w:pPr>
            <w:r>
              <w:rPr>
                <w:rFonts w:ascii="仿宋_GB2312" w:hAnsi="仿宋_GB2312" w:cs="仿宋_GB2312" w:eastAsia="仿宋_GB2312"/>
              </w:rPr>
              <w:t>多维全景分析服务：通过可视化图表直观展示数据资产分级分类情况，以及数据资产及数据资产分级分类的动态变化情况。</w:t>
            </w:r>
          </w:p>
          <w:p>
            <w:pPr>
              <w:pStyle w:val="null3"/>
            </w:pPr>
            <w:r>
              <w:rPr>
                <w:rFonts w:ascii="仿宋_GB2312" w:hAnsi="仿宋_GB2312" w:cs="仿宋_GB2312" w:eastAsia="仿宋_GB2312"/>
              </w:rPr>
              <w:t>数据安全分级分类图谱服务：以图谱的形式展示对接的数据表和字段进行数据分级分类标识结果。</w:t>
            </w:r>
          </w:p>
          <w:p>
            <w:pPr>
              <w:pStyle w:val="null3"/>
            </w:pPr>
            <w:r>
              <w:rPr>
                <w:rFonts w:ascii="仿宋_GB2312" w:hAnsi="仿宋_GB2312" w:cs="仿宋_GB2312" w:eastAsia="仿宋_GB2312"/>
              </w:rPr>
              <w:t>优化数据分级分类专项报告服务：根据数据分级分类相关的内容和成果进行统计汇总，包括数据资产的多维度分析、争议权属资产、待注释资产、热度排名，数据分类类别分布、数据分级类别分布、未分级分类占比，数据分级分类量级、各业务分类量级，数据分级分类趋势、重要数据核心数据分布、占比和详细目录等。</w:t>
            </w:r>
          </w:p>
          <w:p>
            <w:pPr>
              <w:pStyle w:val="null3"/>
            </w:pPr>
            <w:r>
              <w:rPr>
                <w:rFonts w:ascii="仿宋_GB2312" w:hAnsi="仿宋_GB2312" w:cs="仿宋_GB2312" w:eastAsia="仿宋_GB2312"/>
              </w:rPr>
              <w:t>2.1.6.更新迭代咨询、标识等服务相关文档资料</w:t>
            </w:r>
          </w:p>
          <w:p>
            <w:pPr>
              <w:pStyle w:val="null3"/>
            </w:pPr>
            <w:r>
              <w:rPr>
                <w:rFonts w:ascii="仿宋_GB2312" w:hAnsi="仿宋_GB2312" w:cs="仿宋_GB2312" w:eastAsia="仿宋_GB2312"/>
              </w:rPr>
              <w:t>数据分级分类咨询服务：更新迭代数据分级分类咨询服务相关文档资料（3个）</w:t>
            </w:r>
          </w:p>
          <w:p>
            <w:pPr>
              <w:pStyle w:val="null3"/>
            </w:pPr>
            <w:r>
              <w:rPr>
                <w:rFonts w:ascii="仿宋_GB2312" w:hAnsi="仿宋_GB2312" w:cs="仿宋_GB2312" w:eastAsia="仿宋_GB2312"/>
              </w:rPr>
              <w:t>陕西省市场监督管理局数据分级分类管理办法</w:t>
            </w:r>
          </w:p>
          <w:p>
            <w:pPr>
              <w:pStyle w:val="null3"/>
            </w:pPr>
            <w:r>
              <w:rPr>
                <w:rFonts w:ascii="仿宋_GB2312" w:hAnsi="仿宋_GB2312" w:cs="仿宋_GB2312" w:eastAsia="仿宋_GB2312"/>
              </w:rPr>
              <w:t>陕西省市场监督管理局数据分级分类标准规范</w:t>
            </w:r>
          </w:p>
          <w:p>
            <w:pPr>
              <w:pStyle w:val="null3"/>
            </w:pPr>
            <w:r>
              <w:rPr>
                <w:rFonts w:ascii="仿宋_GB2312" w:hAnsi="仿宋_GB2312" w:cs="仿宋_GB2312" w:eastAsia="仿宋_GB2312"/>
              </w:rPr>
              <w:t>陕西省市场监督管理局数据分级分类操作指南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数据分级分类标识服务：更新迭代数据分级分类标识服务相关文档资料（6个）</w:t>
            </w:r>
          </w:p>
          <w:p>
            <w:pPr>
              <w:pStyle w:val="null3"/>
            </w:pPr>
            <w:r>
              <w:rPr>
                <w:rFonts w:ascii="仿宋_GB2312" w:hAnsi="仿宋_GB2312" w:cs="仿宋_GB2312" w:eastAsia="仿宋_GB2312"/>
              </w:rPr>
              <w:t>陕西省市场监督管理局数据分级分类API接口文档</w:t>
            </w:r>
          </w:p>
          <w:p>
            <w:pPr>
              <w:pStyle w:val="null3"/>
            </w:pPr>
            <w:r>
              <w:rPr>
                <w:rFonts w:ascii="仿宋_GB2312" w:hAnsi="仿宋_GB2312" w:cs="仿宋_GB2312" w:eastAsia="仿宋_GB2312"/>
              </w:rPr>
              <w:t>陕西省市场监督管理局数据安全应用场景列表（包含数据流向和业务流程）</w:t>
            </w:r>
          </w:p>
          <w:p>
            <w:pPr>
              <w:pStyle w:val="null3"/>
            </w:pPr>
            <w:r>
              <w:rPr>
                <w:rFonts w:ascii="仿宋_GB2312" w:hAnsi="仿宋_GB2312" w:cs="仿宋_GB2312" w:eastAsia="仿宋_GB2312"/>
              </w:rPr>
              <w:t>陕西省市场监督管理局数据分级分类标签库</w:t>
            </w:r>
          </w:p>
          <w:p>
            <w:pPr>
              <w:pStyle w:val="null3"/>
            </w:pPr>
            <w:r>
              <w:rPr>
                <w:rFonts w:ascii="仿宋_GB2312" w:hAnsi="仿宋_GB2312" w:cs="仿宋_GB2312" w:eastAsia="仿宋_GB2312"/>
              </w:rPr>
              <w:t>陕西省市场监督管理局数据分级分类规则模型清单</w:t>
            </w:r>
          </w:p>
          <w:p>
            <w:pPr>
              <w:pStyle w:val="null3"/>
            </w:pPr>
            <w:r>
              <w:rPr>
                <w:rFonts w:ascii="仿宋_GB2312" w:hAnsi="仿宋_GB2312" w:cs="仿宋_GB2312" w:eastAsia="仿宋_GB2312"/>
              </w:rPr>
              <w:t>陕西省市场监督管理局数据分级分类专项报告</w:t>
            </w:r>
          </w:p>
          <w:p>
            <w:pPr>
              <w:pStyle w:val="null3"/>
            </w:pPr>
            <w:r>
              <w:rPr>
                <w:rFonts w:ascii="仿宋_GB2312" w:hAnsi="仿宋_GB2312" w:cs="仿宋_GB2312" w:eastAsia="仿宋_GB2312"/>
              </w:rPr>
              <w:t>陕西省市场监督管理局数据分级分类结果清单</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数据安全策略规划服务：更新迭代数据安全策略规划服务相关文档资料（2个）</w:t>
            </w:r>
          </w:p>
          <w:p>
            <w:pPr>
              <w:pStyle w:val="null3"/>
            </w:pPr>
            <w:r>
              <w:rPr>
                <w:rFonts w:ascii="仿宋_GB2312" w:hAnsi="仿宋_GB2312" w:cs="仿宋_GB2312" w:eastAsia="仿宋_GB2312"/>
              </w:rPr>
              <w:t>陕西省市场监督管理局数据安全策略规划方案</w:t>
            </w:r>
          </w:p>
          <w:p>
            <w:pPr>
              <w:pStyle w:val="null3"/>
            </w:pPr>
            <w:r>
              <w:rPr>
                <w:rFonts w:ascii="仿宋_GB2312" w:hAnsi="仿宋_GB2312" w:cs="仿宋_GB2312" w:eastAsia="仿宋_GB2312"/>
              </w:rPr>
              <w:t>陕西省市场监督管理局数据安全策略矩阵</w:t>
            </w:r>
          </w:p>
          <w:p>
            <w:pPr>
              <w:pStyle w:val="null3"/>
            </w:pPr>
            <w:r>
              <w:rPr>
                <w:rFonts w:ascii="仿宋_GB2312" w:hAnsi="仿宋_GB2312" w:cs="仿宋_GB2312" w:eastAsia="仿宋_GB2312"/>
              </w:rPr>
              <w:t>数据资产梳理服务：更新迭代数据资产梳理服务相关文档资料（6个）</w:t>
            </w:r>
          </w:p>
          <w:p>
            <w:pPr>
              <w:pStyle w:val="null3"/>
            </w:pPr>
            <w:r>
              <w:rPr>
                <w:rFonts w:ascii="仿宋_GB2312" w:hAnsi="仿宋_GB2312" w:cs="仿宋_GB2312" w:eastAsia="仿宋_GB2312"/>
              </w:rPr>
              <w:t>陕西省市场监督管理局数据库用户权限清单</w:t>
            </w:r>
          </w:p>
          <w:p>
            <w:pPr>
              <w:pStyle w:val="null3"/>
            </w:pPr>
            <w:r>
              <w:rPr>
                <w:rFonts w:ascii="仿宋_GB2312" w:hAnsi="仿宋_GB2312" w:cs="仿宋_GB2312" w:eastAsia="仿宋_GB2312"/>
              </w:rPr>
              <w:t>陕西省市场监督管理局数据资产访问可视化图谱</w:t>
            </w:r>
          </w:p>
          <w:p>
            <w:pPr>
              <w:pStyle w:val="null3"/>
            </w:pPr>
            <w:r>
              <w:rPr>
                <w:rFonts w:ascii="仿宋_GB2312" w:hAnsi="仿宋_GB2312" w:cs="仿宋_GB2312" w:eastAsia="仿宋_GB2312"/>
              </w:rPr>
              <w:t>陕西省市场监督管理局数据资产访问列表</w:t>
            </w:r>
          </w:p>
          <w:p>
            <w:pPr>
              <w:pStyle w:val="null3"/>
            </w:pPr>
            <w:r>
              <w:rPr>
                <w:rFonts w:ascii="仿宋_GB2312" w:hAnsi="仿宋_GB2312" w:cs="仿宋_GB2312" w:eastAsia="仿宋_GB2312"/>
              </w:rPr>
              <w:t>陕西省市场监督管理局数据资产目录清单</w:t>
            </w:r>
          </w:p>
          <w:p>
            <w:pPr>
              <w:pStyle w:val="null3"/>
            </w:pPr>
            <w:r>
              <w:rPr>
                <w:rFonts w:ascii="仿宋_GB2312" w:hAnsi="仿宋_GB2312" w:cs="仿宋_GB2312" w:eastAsia="仿宋_GB2312"/>
              </w:rPr>
              <w:t>陕西省市场监督管理局数据资产热度分析报告</w:t>
            </w:r>
          </w:p>
          <w:p>
            <w:pPr>
              <w:pStyle w:val="null3"/>
            </w:pPr>
            <w:r>
              <w:rPr>
                <w:rFonts w:ascii="仿宋_GB2312" w:hAnsi="仿宋_GB2312" w:cs="仿宋_GB2312" w:eastAsia="仿宋_GB2312"/>
              </w:rPr>
              <w:t>陕西省市场监督管理局数据资产热度统计</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服务期满后，由乙方向甲方递交验收通知书，经甲方确认后，组织乙方进行系统验收。验收合格后，填写政府采购项目验收单作为对本次服务的最终认可。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532772190@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供应商应提供相关文件证明； ③社会保障资金缴纳证明：提供自2024年6月1日以来至少一个月已缴纳的社会保障资金的证明（社会保障资金缴存单据或社保机构开具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w:t>
            </w:r>
          </w:p>
        </w:tc>
        <w:tc>
          <w:tcPr>
            <w:tcW w:type="dxa" w:w="1661"/>
          </w:tcPr>
          <w:p>
            <w:pPr>
              <w:pStyle w:val="null3"/>
            </w:pPr>
            <w:r>
              <w:rPr>
                <w:rFonts w:ascii="仿宋_GB2312" w:hAnsi="仿宋_GB2312" w:cs="仿宋_GB2312" w:eastAsia="仿宋_GB2312"/>
              </w:rPr>
              <w:t>4承诺书.docx 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法定代表人授权委托书：法定代表人参加磋商的，须提供法定代表人身份证复印件；法定代表人授权本单位他人参加磋商的，须提供法定代表人授权委托书。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(1)磋商响应文件未按照磋商文件规定要求签署、盖章的；(2)不满足本磋商文件中“服务期限、服务地点、采购资金的支付方式及约定”的实质性条款要求的； (3)文件有效期不足的或无有效期的； (4)报价超过磋商文件中规定的预算金额或最高限价的；(5)法律、法规和磋商文件规定的其他无效情形。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5服务响应偏离表.docx 2商务部分偏离表.docx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对本项目及市监各业务系统了解深刻、准确，能够清晰描述陕西省市场监督管理局整体业务架构，对业务流、数据流熟悉并能提供相关的流程图，根据响应情况： 满足项目实际需求，无瑕疵：6分；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6需求理解.docx</w:t>
            </w:r>
          </w:p>
        </w:tc>
      </w:tr>
      <w:tr>
        <w:tc>
          <w:tcPr>
            <w:tcW w:type="dxa" w:w="831"/>
            <w:vMerge/>
          </w:tcPr>
          <w:p/>
        </w:tc>
        <w:tc>
          <w:tcPr>
            <w:tcW w:type="dxa" w:w="1661"/>
          </w:tcPr>
          <w:p>
            <w:pPr>
              <w:pStyle w:val="null3"/>
            </w:pPr>
            <w:r>
              <w:rPr>
                <w:rFonts w:ascii="仿宋_GB2312" w:hAnsi="仿宋_GB2312" w:cs="仿宋_GB2312" w:eastAsia="仿宋_GB2312"/>
              </w:rPr>
              <w:t>架构设计</w:t>
            </w:r>
          </w:p>
        </w:tc>
        <w:tc>
          <w:tcPr>
            <w:tcW w:type="dxa" w:w="2492"/>
          </w:tcPr>
          <w:p>
            <w:pPr>
              <w:pStyle w:val="null3"/>
            </w:pPr>
            <w:r>
              <w:rPr>
                <w:rFonts w:ascii="仿宋_GB2312" w:hAnsi="仿宋_GB2312" w:cs="仿宋_GB2312" w:eastAsia="仿宋_GB2312"/>
              </w:rPr>
              <w:t>对本项目架构设计方案进行介绍，对选用原因，布局方案，设计方案，安全方案进行描述。架构应具备先进性、实用性、安全性，根据响应情况： 满足项目实际需求，无瑕疵：7分；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7架构设计.docx</w:t>
            </w:r>
          </w:p>
        </w:tc>
      </w:tr>
      <w:tr>
        <w:tc>
          <w:tcPr>
            <w:tcW w:type="dxa" w:w="831"/>
            <w:vMerge/>
          </w:tcPr>
          <w:p/>
        </w:tc>
        <w:tc>
          <w:tcPr>
            <w:tcW w:type="dxa" w:w="1661"/>
          </w:tcPr>
          <w:p>
            <w:pPr>
              <w:pStyle w:val="null3"/>
            </w:pPr>
            <w:r>
              <w:rPr>
                <w:rFonts w:ascii="仿宋_GB2312" w:hAnsi="仿宋_GB2312" w:cs="仿宋_GB2312" w:eastAsia="仿宋_GB2312"/>
              </w:rPr>
              <w:t>设计功能</w:t>
            </w:r>
          </w:p>
        </w:tc>
        <w:tc>
          <w:tcPr>
            <w:tcW w:type="dxa" w:w="2492"/>
          </w:tcPr>
          <w:p>
            <w:pPr>
              <w:pStyle w:val="null3"/>
            </w:pPr>
            <w:r>
              <w:rPr>
                <w:rFonts w:ascii="仿宋_GB2312" w:hAnsi="仿宋_GB2312" w:cs="仿宋_GB2312" w:eastAsia="仿宋_GB2312"/>
              </w:rPr>
              <w:t>系统设计的应用功能齐全，提供详细的设计、开发思路，能够满足采购人要求，根据响应情况：满足项目实际需求，无瑕疵：7分；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8设计功能.docx</w:t>
            </w:r>
          </w:p>
        </w:tc>
      </w:tr>
      <w:tr>
        <w:tc>
          <w:tcPr>
            <w:tcW w:type="dxa" w:w="831"/>
            <w:vMerge/>
          </w:tcPr>
          <w:p/>
        </w:tc>
        <w:tc>
          <w:tcPr>
            <w:tcW w:type="dxa" w:w="1661"/>
          </w:tcPr>
          <w:p>
            <w:pPr>
              <w:pStyle w:val="null3"/>
            </w:pPr>
            <w:r>
              <w:rPr>
                <w:rFonts w:ascii="仿宋_GB2312" w:hAnsi="仿宋_GB2312" w:cs="仿宋_GB2312" w:eastAsia="仿宋_GB2312"/>
              </w:rPr>
              <w:t>建设范围</w:t>
            </w:r>
          </w:p>
        </w:tc>
        <w:tc>
          <w:tcPr>
            <w:tcW w:type="dxa" w:w="2492"/>
          </w:tcPr>
          <w:p>
            <w:pPr>
              <w:pStyle w:val="null3"/>
            </w:pPr>
            <w:r>
              <w:rPr>
                <w:rFonts w:ascii="仿宋_GB2312" w:hAnsi="仿宋_GB2312" w:cs="仿宋_GB2312" w:eastAsia="仿宋_GB2312"/>
              </w:rPr>
              <w:t>建设范围全面、功能分配设计合理、完善，扩展性设计全面，具备先进性、实用性、安全性，根据响应情况：满足项目实际需求，无瑕疵：6分；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9建设范围.docx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项目总体方案描述详细，各部分功能满足招标文件要求，层次清楚，结构合理，功能直观，根据响应情况：满足项目实际需求，无瑕疵：6分；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10建设方案.docx</w:t>
            </w:r>
          </w:p>
        </w:tc>
      </w:tr>
      <w:tr>
        <w:tc>
          <w:tcPr>
            <w:tcW w:type="dxa" w:w="831"/>
            <w:vMerge/>
          </w:tcPr>
          <w:p/>
        </w:tc>
        <w:tc>
          <w:tcPr>
            <w:tcW w:type="dxa" w:w="1661"/>
          </w:tcPr>
          <w:p>
            <w:pPr>
              <w:pStyle w:val="null3"/>
            </w:pPr>
            <w:r>
              <w:rPr>
                <w:rFonts w:ascii="仿宋_GB2312" w:hAnsi="仿宋_GB2312" w:cs="仿宋_GB2312" w:eastAsia="仿宋_GB2312"/>
              </w:rPr>
              <w:t>整体配置</w:t>
            </w:r>
          </w:p>
        </w:tc>
        <w:tc>
          <w:tcPr>
            <w:tcW w:type="dxa" w:w="2492"/>
          </w:tcPr>
          <w:p>
            <w:pPr>
              <w:pStyle w:val="null3"/>
            </w:pPr>
            <w:r>
              <w:rPr>
                <w:rFonts w:ascii="仿宋_GB2312" w:hAnsi="仿宋_GB2312" w:cs="仿宋_GB2312" w:eastAsia="仿宋_GB2312"/>
              </w:rPr>
              <w:t>整个配置合理，达到实用、先进、稳定、保密、合理和扩展性，根据响应情况：满足项目实际需求，无瑕疵：6分；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11整体配置.docx</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项目实施安排合理，能够按期开发和实施完毕，根据响应情况：满足项目实际需求，无瑕疵：6分；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12实施进度.docx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提供详细具体可行的质量保障体系、质量保障方案及承诺，根据响应情况：满足项目实际需求，无瑕疵：6分；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13质量承诺.docx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项目负责人具备工业和信息化部认证的《信息系统项目管理师》资格，得2分。 注：提供人员的证书复印件、开标前一年内任意一个月的社保证明（或劳动合同）复印件。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14项目负责人.docx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项目组人员（项目负责人除外）具备计算机软件相关专业中级及以上职称证书，1个证书得1分，满分3分。 注：提供人员的证书复印件、开标前一年内任意一个月的社保证明（或劳动合同）复印件。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15项目组人员.docx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项目组人员配置合理，专业齐全，并具备相关工作经验，提供相关证明材料，根据响应情况：满足项目实际需求，无瑕疵：5分；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16人员配置.docx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建立完善的安全管理措施，加强信息系统安全的管理工作，根据响应情况：满足项目实际需求，无瑕疵：6分；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17安全管理.docx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服务响应时间、备份恢复、定期巡查、故障诊断、特殊时段运行保障、应急预案等。根据响应情况：满足项目实际需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18应急措施.docx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及采购人实际需求提供详细具体可行的培训计划，负责为采购人培训操作维护人员，并有完整的培训方案，列出详细的培训内容、培训方式等说明。保证使用人员能熟练操作维护和正常使用，（包括：培训人数、时间、内容等）。根据响应情况：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19培训方案.docx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供应商针对本项目提供服务承诺，包括服务运营人员经验水平、服务跟踪计划、系统维护、系统故障补救措施、技术支持等，根据响应情况：满足项目实际需求，无瑕疵：5分；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提供近三年（2022年6月至今，以合同签订为准）的类似项目业绩，每提供一个计1分，满分5分。（须在投标文件中提供合同的复印件加盖公章，否则不计分。）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21业绩.docx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供应商提供有效的质量管理体系认证（ISO9001），提供得1分，未提供不计分。 供应商提供有效的信息技术服务管理体系认证（ISO20000），提供得1分，未提供不计分。 供应商提供有效的信息安全管理体系认证（ISO27001），提供得1分，未提供不计分。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22履约能力.docx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价格分统一采用低价优先法计算，即满足磋商文件要求且响应价格最低的磋商报价为评标基准价，其价格分为满分。其他供应商的价格分统一按照下列公式计算：价格分= (评标基准价／磋商报价)×报价分值 注：1、计算分数时四舍五入取小数点后两位。 2、落实政府采购政策：详见价格扣除。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1分项价格表.docx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详见附件：6需求理解.docx</w:t>
      </w:r>
    </w:p>
    <w:p>
      <w:pPr>
        <w:pStyle w:val="null3"/>
        <w:ind w:firstLine="960"/>
      </w:pPr>
      <w:r>
        <w:rPr>
          <w:rFonts w:ascii="仿宋_GB2312" w:hAnsi="仿宋_GB2312" w:cs="仿宋_GB2312" w:eastAsia="仿宋_GB2312"/>
        </w:rPr>
        <w:t>详见附件：7架构设计.docx</w:t>
      </w:r>
    </w:p>
    <w:p>
      <w:pPr>
        <w:pStyle w:val="null3"/>
        <w:ind w:firstLine="960"/>
      </w:pPr>
      <w:r>
        <w:rPr>
          <w:rFonts w:ascii="仿宋_GB2312" w:hAnsi="仿宋_GB2312" w:cs="仿宋_GB2312" w:eastAsia="仿宋_GB2312"/>
        </w:rPr>
        <w:t>详见附件：8设计功能.docx</w:t>
      </w:r>
    </w:p>
    <w:p>
      <w:pPr>
        <w:pStyle w:val="null3"/>
        <w:ind w:firstLine="960"/>
      </w:pPr>
      <w:r>
        <w:rPr>
          <w:rFonts w:ascii="仿宋_GB2312" w:hAnsi="仿宋_GB2312" w:cs="仿宋_GB2312" w:eastAsia="仿宋_GB2312"/>
        </w:rPr>
        <w:t>详见附件：9建设范围.docx</w:t>
      </w:r>
    </w:p>
    <w:p>
      <w:pPr>
        <w:pStyle w:val="null3"/>
        <w:ind w:firstLine="960"/>
      </w:pPr>
      <w:r>
        <w:rPr>
          <w:rFonts w:ascii="仿宋_GB2312" w:hAnsi="仿宋_GB2312" w:cs="仿宋_GB2312" w:eastAsia="仿宋_GB2312"/>
        </w:rPr>
        <w:t>详见附件：10建设方案.docx</w:t>
      </w:r>
    </w:p>
    <w:p>
      <w:pPr>
        <w:pStyle w:val="null3"/>
        <w:ind w:firstLine="960"/>
      </w:pPr>
      <w:r>
        <w:rPr>
          <w:rFonts w:ascii="仿宋_GB2312" w:hAnsi="仿宋_GB2312" w:cs="仿宋_GB2312" w:eastAsia="仿宋_GB2312"/>
        </w:rPr>
        <w:t>详见附件：11整体配置.docx</w:t>
      </w:r>
    </w:p>
    <w:p>
      <w:pPr>
        <w:pStyle w:val="null3"/>
        <w:ind w:firstLine="960"/>
      </w:pPr>
      <w:r>
        <w:rPr>
          <w:rFonts w:ascii="仿宋_GB2312" w:hAnsi="仿宋_GB2312" w:cs="仿宋_GB2312" w:eastAsia="仿宋_GB2312"/>
        </w:rPr>
        <w:t>详见附件：12实施进度.docx</w:t>
      </w:r>
    </w:p>
    <w:p>
      <w:pPr>
        <w:pStyle w:val="null3"/>
        <w:ind w:firstLine="960"/>
      </w:pPr>
      <w:r>
        <w:rPr>
          <w:rFonts w:ascii="仿宋_GB2312" w:hAnsi="仿宋_GB2312" w:cs="仿宋_GB2312" w:eastAsia="仿宋_GB2312"/>
        </w:rPr>
        <w:t>详见附件：13质量承诺.docx</w:t>
      </w:r>
    </w:p>
    <w:p>
      <w:pPr>
        <w:pStyle w:val="null3"/>
        <w:ind w:firstLine="960"/>
      </w:pPr>
      <w:r>
        <w:rPr>
          <w:rFonts w:ascii="仿宋_GB2312" w:hAnsi="仿宋_GB2312" w:cs="仿宋_GB2312" w:eastAsia="仿宋_GB2312"/>
        </w:rPr>
        <w:t>详见附件：14项目负责人.docx</w:t>
      </w:r>
    </w:p>
    <w:p>
      <w:pPr>
        <w:pStyle w:val="null3"/>
        <w:ind w:firstLine="960"/>
      </w:pPr>
      <w:r>
        <w:rPr>
          <w:rFonts w:ascii="仿宋_GB2312" w:hAnsi="仿宋_GB2312" w:cs="仿宋_GB2312" w:eastAsia="仿宋_GB2312"/>
        </w:rPr>
        <w:t>详见附件：15项目组人员.docx</w:t>
      </w:r>
    </w:p>
    <w:p>
      <w:pPr>
        <w:pStyle w:val="null3"/>
        <w:ind w:firstLine="960"/>
      </w:pPr>
      <w:r>
        <w:rPr>
          <w:rFonts w:ascii="仿宋_GB2312" w:hAnsi="仿宋_GB2312" w:cs="仿宋_GB2312" w:eastAsia="仿宋_GB2312"/>
        </w:rPr>
        <w:t>详见附件：16人员配置.docx</w:t>
      </w:r>
    </w:p>
    <w:p>
      <w:pPr>
        <w:pStyle w:val="null3"/>
        <w:ind w:firstLine="960"/>
      </w:pPr>
      <w:r>
        <w:rPr>
          <w:rFonts w:ascii="仿宋_GB2312" w:hAnsi="仿宋_GB2312" w:cs="仿宋_GB2312" w:eastAsia="仿宋_GB2312"/>
        </w:rPr>
        <w:t>详见附件：17安全管理.docx</w:t>
      </w:r>
    </w:p>
    <w:p>
      <w:pPr>
        <w:pStyle w:val="null3"/>
        <w:ind w:firstLine="960"/>
      </w:pPr>
      <w:r>
        <w:rPr>
          <w:rFonts w:ascii="仿宋_GB2312" w:hAnsi="仿宋_GB2312" w:cs="仿宋_GB2312" w:eastAsia="仿宋_GB2312"/>
        </w:rPr>
        <w:t>详见附件：18应急措施.docx</w:t>
      </w:r>
    </w:p>
    <w:p>
      <w:pPr>
        <w:pStyle w:val="null3"/>
        <w:ind w:firstLine="960"/>
      </w:pPr>
      <w:r>
        <w:rPr>
          <w:rFonts w:ascii="仿宋_GB2312" w:hAnsi="仿宋_GB2312" w:cs="仿宋_GB2312" w:eastAsia="仿宋_GB2312"/>
        </w:rPr>
        <w:t>详见附件：19培训方案.docx</w:t>
      </w:r>
    </w:p>
    <w:p>
      <w:pPr>
        <w:pStyle w:val="null3"/>
        <w:ind w:firstLine="960"/>
      </w:pPr>
      <w:r>
        <w:rPr>
          <w:rFonts w:ascii="仿宋_GB2312" w:hAnsi="仿宋_GB2312" w:cs="仿宋_GB2312" w:eastAsia="仿宋_GB2312"/>
        </w:rPr>
        <w:t>详见附件：20服务承诺.docx</w:t>
      </w:r>
    </w:p>
    <w:p>
      <w:pPr>
        <w:pStyle w:val="null3"/>
        <w:ind w:firstLine="960"/>
      </w:pPr>
      <w:r>
        <w:rPr>
          <w:rFonts w:ascii="仿宋_GB2312" w:hAnsi="仿宋_GB2312" w:cs="仿宋_GB2312" w:eastAsia="仿宋_GB2312"/>
        </w:rPr>
        <w:t>详见附件：21业绩.docx</w:t>
      </w:r>
    </w:p>
    <w:p>
      <w:pPr>
        <w:pStyle w:val="null3"/>
        <w:ind w:firstLine="960"/>
      </w:pPr>
      <w:r>
        <w:rPr>
          <w:rFonts w:ascii="仿宋_GB2312" w:hAnsi="仿宋_GB2312" w:cs="仿宋_GB2312" w:eastAsia="仿宋_GB2312"/>
        </w:rPr>
        <w:t>详见附件：22履约能力.docx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