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版本号：SCZA2025-JT-0705-00120250617001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陕西省数字财政项目（二期）陕西省财政厅行政办公系统沙箱平台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SCZA2025-JT-0705-001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陕西省数字财政项目（二期）陕西省财政厅行政办公系统沙箱平台</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SCZA2025-JT-0705-001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陕西省数字财政项目（二期）陕西省财政厅行政办公系统沙箱平台</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行政办公系统沙箱安全升级项目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网站（www.creditchina.gov.cn）和中国政府采购网（www.ccgp.gov.cn）上被列入失信被执行人、重大税收违法失信主体、政府采购严重违法失信行为记录名单的，不得参加谈判。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029-68936315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陕西省财政厅机关</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计算机网络技术的迅猛发展，办公自动化系统功能日臻完善与应用，政府行政办公系统也在稳步推进，财政部门也不例外。随着财政办公自动化应用不断深入，办事效能要求愈来愈高，为了方便文件办理不受时空局限，行政办公系统被推到前台，其基本功能需求是能通过手机、平板电脑或者其它智能终端访问行政办公系统，并实现通知、公文浏览、查询和签批等功能。而今移动4G/WIFI网络普及使用，使行政办公系统条件也更加成熟，行政办公系统已成财政自动化应用必然发展方向。</w:t>
      </w:r>
    </w:p>
    <w:p>
      <w:pPr>
        <w:pStyle w:val="null3"/>
      </w:pPr>
      <w:r>
        <w:rPr>
          <w:rFonts w:ascii="仿宋_GB2312" w:hAnsi="仿宋_GB2312" w:cs="仿宋_GB2312" w:eastAsia="仿宋_GB2312"/>
        </w:rPr>
        <w:t>陕西财政厅行政办公系统沙箱于2017年建成，主要面向陕西省财政厅的移动端办公使用人员，能够监测和管理移动终端的使用情况，有效的保障了办公系统运行及移动终端数据安全，加强了对移动终端设备的管理控制及安全防范。</w:t>
      </w:r>
    </w:p>
    <w:p>
      <w:pPr>
        <w:pStyle w:val="null3"/>
      </w:pPr>
      <w:r>
        <w:rPr>
          <w:rFonts w:ascii="仿宋_GB2312" w:hAnsi="仿宋_GB2312" w:cs="仿宋_GB2312" w:eastAsia="仿宋_GB2312"/>
        </w:rPr>
        <w:t>然而，面对当下网络威胁，之前采购的沙箱硬件平台、系统软件及客户端已难满足移动终端数据安全防护需求。设备老化、升级维护服务欠缺、对新型攻击防御不足等问题凸显，无论从性能与功能上都无法跟上单位信息化建设规模及安全防护要求，也不符合网络安全法和等保2.0相关要求。</w:t>
      </w:r>
    </w:p>
    <w:p>
      <w:pPr>
        <w:pStyle w:val="null3"/>
      </w:pPr>
      <w:r>
        <w:rPr>
          <w:rFonts w:ascii="仿宋_GB2312" w:hAnsi="仿宋_GB2312" w:cs="仿宋_GB2312" w:eastAsia="仿宋_GB2312"/>
        </w:rPr>
        <w:t>因此为支撑后续的财政业务顺利开展，需要对沙箱硬件平台、系统软件、客户端进行安全升级。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陕西省数字财政项目（二期）陕西省财政厅行政办公系统沙箱平台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标的名称：陕西省数字财政项目（二期）陕西省财政厅行政办公系统沙箱平台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0"/>
                <w:b/>
              </w:rPr>
              <w:t>一、建设背景及依据</w:t>
            </w:r>
          </w:p>
          <w:p>
            <w:pPr>
              <w:pStyle w:val="null3"/>
              <w:numPr>
                <w:ilvl w:val="0"/>
                <w:numId w:val="1"/>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1.1建设背景</w:t>
            </w:r>
          </w:p>
          <w:p>
            <w:pPr>
              <w:pStyle w:val="null3"/>
              <w:ind w:firstLine="400"/>
              <w:jc w:val="both"/>
            </w:pPr>
            <w:r>
              <w:rPr>
                <w:rFonts w:ascii="仿宋_GB2312" w:hAnsi="仿宋_GB2312" w:cs="仿宋_GB2312" w:eastAsia="仿宋_GB2312"/>
                <w:sz w:val="20"/>
              </w:rPr>
              <w:t>随着计算机网络技术的迅猛发展，办公自动化系统功能日臻完善与应用，政府行政办公系统也在稳步推进，财政部门也不例外。随着财政办公自动化应用不断深入，办事效能要求愈来愈高，为了方便文件办理不受时空局限，行政办公系统被推到前台，其基本功能需求是能通过手机、平板电脑或者其它智能终端访问行政办公系统，并实现通知、公文浏览、查询和签批等功能。而今移动</w:t>
            </w:r>
            <w:r>
              <w:rPr>
                <w:rFonts w:ascii="仿宋_GB2312" w:hAnsi="仿宋_GB2312" w:cs="仿宋_GB2312" w:eastAsia="仿宋_GB2312"/>
                <w:sz w:val="20"/>
              </w:rPr>
              <w:t>4G/WIFI网络普及使用，使行政办公系统条件也更加成熟，行政办公系统已成财政自动化应用必然发展方向。</w:t>
            </w:r>
          </w:p>
          <w:p>
            <w:pPr>
              <w:pStyle w:val="null3"/>
              <w:ind w:firstLine="400"/>
              <w:jc w:val="both"/>
            </w:pPr>
            <w:r>
              <w:rPr>
                <w:rFonts w:ascii="仿宋_GB2312" w:hAnsi="仿宋_GB2312" w:cs="仿宋_GB2312" w:eastAsia="仿宋_GB2312"/>
                <w:sz w:val="20"/>
              </w:rPr>
              <w:t>陕西财政厅行政办公系统沙箱于</w:t>
            </w:r>
            <w:r>
              <w:rPr>
                <w:rFonts w:ascii="仿宋_GB2312" w:hAnsi="仿宋_GB2312" w:cs="仿宋_GB2312" w:eastAsia="仿宋_GB2312"/>
                <w:sz w:val="20"/>
              </w:rPr>
              <w:t>2017年建成，主要面向陕西省财政厅的移动端办公使用人员，能够监测和管理移动终端的使用情况，有效的保障了办公系统运行及移动终端数据安全，加强了对移动终端设备的</w:t>
            </w:r>
            <w:r>
              <w:rPr>
                <w:rFonts w:ascii="仿宋_GB2312" w:hAnsi="仿宋_GB2312" w:cs="仿宋_GB2312" w:eastAsia="仿宋_GB2312"/>
                <w:sz w:val="20"/>
              </w:rPr>
              <w:t>管理控制及安全防范</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然而，面对当下网络威胁，之前采购的沙箱硬件平台、系统软件及客户端已难满足移动终端数据安全防护需求。设备老化、升级维护服务欠缺、对新型攻击防御不足等问题凸显，无论从性能与功能上都无法跟上单位信息化建设规模及安全防护要求，也不符合网络安全法和等保</w:t>
            </w:r>
            <w:r>
              <w:rPr>
                <w:rFonts w:ascii="仿宋_GB2312" w:hAnsi="仿宋_GB2312" w:cs="仿宋_GB2312" w:eastAsia="仿宋_GB2312"/>
                <w:sz w:val="20"/>
              </w:rPr>
              <w:t>2.0相关要求。</w:t>
            </w:r>
          </w:p>
          <w:p>
            <w:pPr>
              <w:pStyle w:val="null3"/>
              <w:ind w:firstLine="400"/>
              <w:jc w:val="both"/>
            </w:pPr>
            <w:r>
              <w:rPr>
                <w:rFonts w:ascii="仿宋_GB2312" w:hAnsi="仿宋_GB2312" w:cs="仿宋_GB2312" w:eastAsia="仿宋_GB2312"/>
                <w:sz w:val="20"/>
              </w:rPr>
              <w:t>因此为支撑后续的财政业务顺利开展，需要对沙箱硬件平台、系统软件、客户端进行安全升级。</w:t>
            </w:r>
          </w:p>
          <w:p>
            <w:pPr>
              <w:pStyle w:val="null3"/>
              <w:numPr>
                <w:ilvl w:val="0"/>
                <w:numId w:val="1"/>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1.2政策依据</w:t>
            </w:r>
          </w:p>
          <w:p>
            <w:pPr>
              <w:pStyle w:val="null3"/>
              <w:ind w:firstLine="400"/>
              <w:jc w:val="both"/>
            </w:pPr>
            <w:r>
              <w:rPr>
                <w:rFonts w:ascii="仿宋_GB2312" w:hAnsi="仿宋_GB2312" w:cs="仿宋_GB2312" w:eastAsia="仿宋_GB2312"/>
                <w:sz w:val="20"/>
              </w:rPr>
              <w:t>1、《中华人民共和国网络安全法》（2017年6月1日）；</w:t>
            </w:r>
          </w:p>
          <w:p>
            <w:pPr>
              <w:pStyle w:val="null3"/>
              <w:ind w:firstLine="400"/>
              <w:jc w:val="both"/>
            </w:pPr>
            <w:r>
              <w:rPr>
                <w:rFonts w:ascii="仿宋_GB2312" w:hAnsi="仿宋_GB2312" w:cs="仿宋_GB2312" w:eastAsia="仿宋_GB2312"/>
                <w:sz w:val="20"/>
              </w:rPr>
              <w:t>2、《中华人民共和国数据安全法》（2021年9月1日）；</w:t>
            </w:r>
          </w:p>
          <w:p>
            <w:pPr>
              <w:pStyle w:val="null3"/>
              <w:ind w:firstLine="400"/>
              <w:jc w:val="both"/>
            </w:pPr>
            <w:r>
              <w:rPr>
                <w:rFonts w:ascii="仿宋_GB2312" w:hAnsi="仿宋_GB2312" w:cs="仿宋_GB2312" w:eastAsia="仿宋_GB2312"/>
                <w:sz w:val="20"/>
              </w:rPr>
              <w:t>3、《关键信息基础设施安全保护条例》（2021年9月1日）；</w:t>
            </w:r>
          </w:p>
          <w:p>
            <w:pPr>
              <w:pStyle w:val="null3"/>
              <w:ind w:firstLine="400"/>
              <w:jc w:val="both"/>
            </w:pPr>
            <w:r>
              <w:rPr>
                <w:rFonts w:ascii="仿宋_GB2312" w:hAnsi="仿宋_GB2312" w:cs="仿宋_GB2312" w:eastAsia="仿宋_GB2312"/>
                <w:sz w:val="20"/>
              </w:rPr>
              <w:t>4、《中华人民共和国个人信息保护法》（2021年11月1日）；</w:t>
            </w:r>
          </w:p>
          <w:p>
            <w:pPr>
              <w:pStyle w:val="null3"/>
              <w:ind w:firstLine="400"/>
              <w:jc w:val="both"/>
            </w:pPr>
            <w:r>
              <w:rPr>
                <w:rFonts w:ascii="仿宋_GB2312" w:hAnsi="仿宋_GB2312" w:cs="仿宋_GB2312" w:eastAsia="仿宋_GB2312"/>
                <w:sz w:val="20"/>
              </w:rPr>
              <w:t>5、《网络安全等级保护管理条例》（2025年1月1日）；</w:t>
            </w:r>
          </w:p>
          <w:p>
            <w:pPr>
              <w:pStyle w:val="null3"/>
              <w:ind w:firstLine="400"/>
              <w:jc w:val="both"/>
            </w:pPr>
            <w:r>
              <w:rPr>
                <w:rFonts w:ascii="仿宋_GB2312" w:hAnsi="仿宋_GB2312" w:cs="仿宋_GB2312" w:eastAsia="仿宋_GB2312"/>
                <w:sz w:val="20"/>
              </w:rPr>
              <w:t>6、《网络安全等级保护定级指南》（GB/T22240-2020）；</w:t>
            </w:r>
          </w:p>
          <w:p>
            <w:pPr>
              <w:pStyle w:val="null3"/>
              <w:ind w:firstLine="400"/>
              <w:jc w:val="both"/>
            </w:pPr>
            <w:r>
              <w:rPr>
                <w:rFonts w:ascii="仿宋_GB2312" w:hAnsi="仿宋_GB2312" w:cs="仿宋_GB2312" w:eastAsia="仿宋_GB2312"/>
                <w:sz w:val="20"/>
              </w:rPr>
              <w:t>7、《网络安全等级保护基本要求》（GB/T22239-2019）；</w:t>
            </w:r>
          </w:p>
          <w:p>
            <w:pPr>
              <w:pStyle w:val="null3"/>
              <w:ind w:firstLine="400"/>
              <w:jc w:val="both"/>
            </w:pPr>
            <w:r>
              <w:rPr>
                <w:rFonts w:ascii="仿宋_GB2312" w:hAnsi="仿宋_GB2312" w:cs="仿宋_GB2312" w:eastAsia="仿宋_GB2312"/>
                <w:sz w:val="20"/>
              </w:rPr>
              <w:t>8、《网络安全等级保护安全设计技术要求》（GB/T25070-2019）；</w:t>
            </w:r>
          </w:p>
          <w:p>
            <w:pPr>
              <w:pStyle w:val="null3"/>
              <w:ind w:firstLine="400"/>
              <w:jc w:val="both"/>
            </w:pPr>
            <w:r>
              <w:rPr>
                <w:rFonts w:ascii="仿宋_GB2312" w:hAnsi="仿宋_GB2312" w:cs="仿宋_GB2312" w:eastAsia="仿宋_GB2312"/>
                <w:sz w:val="20"/>
              </w:rPr>
              <w:t>9、《网络安全等级保护实施指南》（GB/T25058-2019）；</w:t>
            </w:r>
          </w:p>
          <w:p>
            <w:pPr>
              <w:pStyle w:val="null3"/>
              <w:ind w:firstLine="400"/>
              <w:jc w:val="both"/>
            </w:pPr>
            <w:r>
              <w:rPr>
                <w:rFonts w:ascii="仿宋_GB2312" w:hAnsi="仿宋_GB2312" w:cs="仿宋_GB2312" w:eastAsia="仿宋_GB2312"/>
                <w:sz w:val="20"/>
              </w:rPr>
              <w:t>10、《信息安全风险评估规范》（GB/T20984-2007）。</w:t>
            </w:r>
          </w:p>
          <w:p>
            <w:pPr>
              <w:pStyle w:val="null3"/>
              <w:jc w:val="both"/>
              <w:outlineLvl w:val="0"/>
            </w:pPr>
            <w:r>
              <w:rPr>
                <w:rFonts w:ascii="仿宋_GB2312" w:hAnsi="仿宋_GB2312" w:cs="仿宋_GB2312" w:eastAsia="仿宋_GB2312"/>
                <w:sz w:val="20"/>
                <w:b/>
              </w:rPr>
              <w:t>二、项目需求功能</w:t>
            </w:r>
          </w:p>
          <w:p>
            <w:pPr>
              <w:pStyle w:val="null3"/>
              <w:numPr>
                <w:ilvl w:val="0"/>
                <w:numId w:val="1"/>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1.3总体目标</w:t>
            </w:r>
          </w:p>
          <w:p>
            <w:pPr>
              <w:pStyle w:val="null3"/>
              <w:ind w:firstLine="400"/>
              <w:jc w:val="both"/>
            </w:pPr>
            <w:r>
              <w:rPr>
                <w:rFonts w:ascii="仿宋_GB2312" w:hAnsi="仿宋_GB2312" w:cs="仿宋_GB2312" w:eastAsia="仿宋_GB2312"/>
                <w:sz w:val="20"/>
              </w:rPr>
              <w:t>本次陕西省财政厅行政办公系统沙箱安全升级采购项目旨在针对沙箱硬件平台、系统软件、客户端展开安全升级，并进行策略调优。以此保障沙箱系统后续能够稳定运行，切实有效地防护网络安全风险，助力移动办公应用顺利开展，最大程度规避病毒、网络侵入等安全事件，防止数据泄露，契合网络安全法及等保</w:t>
            </w:r>
            <w:r>
              <w:rPr>
                <w:rFonts w:ascii="仿宋_GB2312" w:hAnsi="仿宋_GB2312" w:cs="仿宋_GB2312" w:eastAsia="仿宋_GB2312"/>
                <w:sz w:val="20"/>
              </w:rPr>
              <w:t>2.0要求，全方位提升陕西财政厅移动终端网络数据安全防护能力。</w:t>
            </w:r>
          </w:p>
          <w:p>
            <w:pPr>
              <w:pStyle w:val="null3"/>
              <w:numPr>
                <w:ilvl w:val="0"/>
                <w:numId w:val="1"/>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1.4年度目标</w:t>
            </w:r>
          </w:p>
          <w:p>
            <w:pPr>
              <w:pStyle w:val="null3"/>
              <w:ind w:firstLine="400"/>
              <w:jc w:val="both"/>
            </w:pPr>
            <w:r>
              <w:rPr>
                <w:rFonts w:ascii="仿宋_GB2312" w:hAnsi="仿宋_GB2312" w:cs="仿宋_GB2312" w:eastAsia="仿宋_GB2312"/>
                <w:sz w:val="20"/>
              </w:rPr>
              <w:t>保障</w:t>
            </w:r>
            <w:r>
              <w:rPr>
                <w:rFonts w:ascii="仿宋_GB2312" w:hAnsi="仿宋_GB2312" w:cs="仿宋_GB2312" w:eastAsia="仿宋_GB2312"/>
                <w:sz w:val="20"/>
              </w:rPr>
              <w:t>陕西省财政厅行政办公系统沙箱所涉及的沙箱硬件平台、系统软件、客户端能够稳定运行，切实有效地防护网络安全风险，助力移动办公应用顺利开展。</w:t>
            </w:r>
          </w:p>
          <w:p>
            <w:pPr>
              <w:pStyle w:val="null3"/>
              <w:numPr>
                <w:ilvl w:val="0"/>
                <w:numId w:val="1"/>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1.5绩效指标</w:t>
            </w:r>
          </w:p>
          <w:p>
            <w:pPr>
              <w:pStyle w:val="null3"/>
              <w:ind w:firstLine="400"/>
              <w:jc w:val="both"/>
            </w:pPr>
            <w:r>
              <w:rPr>
                <w:rFonts w:ascii="仿宋_GB2312" w:hAnsi="仿宋_GB2312" w:cs="仿宋_GB2312" w:eastAsia="仿宋_GB2312"/>
                <w:sz w:val="20"/>
              </w:rPr>
              <w:t>确保陕西省财政厅行政办公系统沙箱安全升级及策略调优按时完成。保障系统稳定运行，有效防控网络和数据安全风险，助力移动办公，规避安全事件。</w:t>
            </w:r>
          </w:p>
          <w:p>
            <w:pPr>
              <w:pStyle w:val="null3"/>
              <w:numPr>
                <w:ilvl w:val="0"/>
                <w:numId w:val="1"/>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1.6功能描述</w:t>
            </w:r>
          </w:p>
          <w:p>
            <w:pPr>
              <w:pStyle w:val="null3"/>
              <w:jc w:val="left"/>
            </w:pPr>
            <w:r>
              <w:rPr>
                <w:rFonts w:ascii="仿宋_GB2312" w:hAnsi="仿宋_GB2312" w:cs="仿宋_GB2312" w:eastAsia="仿宋_GB2312"/>
                <w:sz w:val="21"/>
              </w:rPr>
              <w:t>★1.6.1</w:t>
            </w:r>
            <w:r>
              <w:rPr>
                <w:rFonts w:ascii="仿宋_GB2312" w:hAnsi="仿宋_GB2312" w:cs="仿宋_GB2312" w:eastAsia="仿宋_GB2312"/>
                <w:sz w:val="20"/>
                <w:b/>
              </w:rPr>
              <w:t>升级范围</w:t>
            </w:r>
          </w:p>
          <w:p>
            <w:pPr>
              <w:pStyle w:val="null3"/>
              <w:ind w:firstLine="400"/>
              <w:jc w:val="both"/>
            </w:pPr>
            <w:r>
              <w:rPr>
                <w:rFonts w:ascii="仿宋_GB2312" w:hAnsi="仿宋_GB2312" w:cs="仿宋_GB2312" w:eastAsia="仿宋_GB2312"/>
                <w:sz w:val="20"/>
              </w:rPr>
              <w:t>本次陕西省财政厅行政办公系统沙箱安全升级范围主要包括：沙箱硬件平台、系统软件、客户端展开安全升级，并进行策略调优。</w:t>
            </w:r>
          </w:p>
          <w:tbl>
            <w:tblPr>
              <w:tblBorders>
                <w:top w:val="none" w:color="000000" w:sz="4"/>
                <w:left w:val="none" w:color="000000" w:sz="4"/>
                <w:bottom w:val="none" w:color="000000" w:sz="4"/>
                <w:right w:val="none" w:color="000000" w:sz="4"/>
                <w:insideH w:val="none"/>
                <w:insideV w:val="none"/>
              </w:tblBorders>
            </w:tblPr>
            <w:tblGrid>
              <w:gridCol w:w="207"/>
              <w:gridCol w:w="777"/>
              <w:gridCol w:w="290"/>
              <w:gridCol w:w="249"/>
              <w:gridCol w:w="1015"/>
            </w:tblGrid>
            <w:tr>
              <w:tc>
                <w:tcPr>
                  <w:tcW w:type="dxa" w:w="207"/>
                  <w:tcBorders>
                    <w:top w:val="singl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77"/>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w:t>
                  </w:r>
                  <w:r>
                    <w:rPr>
                      <w:rFonts w:ascii="仿宋_GB2312" w:hAnsi="仿宋_GB2312" w:cs="仿宋_GB2312" w:eastAsia="仿宋_GB2312"/>
                      <w:sz w:val="20"/>
                      <w:b/>
                    </w:rPr>
                    <w:t>名称</w:t>
                  </w:r>
                </w:p>
              </w:tc>
              <w:tc>
                <w:tcPr>
                  <w:tcW w:type="dxa" w:w="290"/>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49"/>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015"/>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沙箱硬件平台</w:t>
                  </w:r>
                  <w:r>
                    <w:rPr>
                      <w:rFonts w:ascii="仿宋_GB2312" w:hAnsi="仿宋_GB2312" w:cs="仿宋_GB2312" w:eastAsia="仿宋_GB2312"/>
                      <w:sz w:val="20"/>
                    </w:rPr>
                    <w:t>升级</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硬件服务器</w:t>
                  </w:r>
                  <w:r>
                    <w:rPr>
                      <w:rFonts w:ascii="仿宋_GB2312" w:hAnsi="仿宋_GB2312" w:cs="仿宋_GB2312" w:eastAsia="仿宋_GB2312"/>
                      <w:sz w:val="20"/>
                    </w:rPr>
                    <w:t>）</w:t>
                  </w:r>
                </w:p>
              </w:tc>
              <w:tc>
                <w:tcPr>
                  <w:tcW w:type="dxa" w:w="2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0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购置硬件服务器作为沙箱软件系统承载平台</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沙箱系统软件升级</w:t>
                  </w:r>
                </w:p>
              </w:tc>
              <w:tc>
                <w:tcPr>
                  <w:tcW w:type="dxa" w:w="2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0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系统软件升级为最新版本</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沙箱系统客户端升级授权</w:t>
                  </w:r>
                </w:p>
              </w:tc>
              <w:tc>
                <w:tcPr>
                  <w:tcW w:type="dxa" w:w="2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w:t>
                  </w:r>
                </w:p>
              </w:tc>
              <w:tc>
                <w:tcPr>
                  <w:tcW w:type="dxa" w:w="10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升级后总授权数量提升至300点</w:t>
                  </w:r>
                </w:p>
              </w:tc>
            </w:tr>
          </w:tbl>
          <w:p>
            <w:pPr>
              <w:pStyle w:val="null3"/>
              <w:numPr>
                <w:ilvl w:val="1"/>
                <w:numId w:val="2"/>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1.6.2安全升级</w:t>
            </w:r>
            <w:r>
              <w:rPr>
                <w:rFonts w:ascii="仿宋_GB2312" w:hAnsi="仿宋_GB2312" w:cs="仿宋_GB2312" w:eastAsia="仿宋_GB2312"/>
                <w:sz w:val="20"/>
                <w:b/>
              </w:rPr>
              <w:t>内容</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1.6.2.1</w:t>
            </w:r>
            <w:r>
              <w:rPr>
                <w:rFonts w:ascii="仿宋_GB2312" w:hAnsi="仿宋_GB2312" w:cs="仿宋_GB2312" w:eastAsia="仿宋_GB2312"/>
                <w:sz w:val="20"/>
                <w:b/>
              </w:rPr>
              <w:t>沙箱硬件平台升级</w:t>
            </w:r>
          </w:p>
          <w:p>
            <w:pPr>
              <w:pStyle w:val="null3"/>
              <w:ind w:firstLine="400"/>
              <w:jc w:val="both"/>
            </w:pPr>
            <w:r>
              <w:rPr>
                <w:rFonts w:ascii="仿宋_GB2312" w:hAnsi="仿宋_GB2312" w:cs="仿宋_GB2312" w:eastAsia="仿宋_GB2312"/>
                <w:sz w:val="20"/>
              </w:rPr>
              <w:t>原有服务器采购时间为</w:t>
            </w:r>
            <w:r>
              <w:rPr>
                <w:rFonts w:ascii="仿宋_GB2312" w:hAnsi="仿宋_GB2312" w:cs="仿宋_GB2312" w:eastAsia="仿宋_GB2312"/>
                <w:sz w:val="20"/>
              </w:rPr>
              <w:t>2017年，硬件性能无法满足现有</w:t>
            </w:r>
            <w:r>
              <w:rPr>
                <w:rFonts w:ascii="仿宋_GB2312" w:hAnsi="仿宋_GB2312" w:cs="仿宋_GB2312" w:eastAsia="仿宋_GB2312"/>
                <w:sz w:val="20"/>
              </w:rPr>
              <w:t>移动</w:t>
            </w:r>
            <w:r>
              <w:rPr>
                <w:rFonts w:ascii="仿宋_GB2312" w:hAnsi="仿宋_GB2312" w:cs="仿宋_GB2312" w:eastAsia="仿宋_GB2312"/>
                <w:sz w:val="20"/>
              </w:rPr>
              <w:t>终端需求，本次</w:t>
            </w:r>
            <w:r>
              <w:rPr>
                <w:rFonts w:ascii="仿宋_GB2312" w:hAnsi="仿宋_GB2312" w:cs="仿宋_GB2312" w:eastAsia="仿宋_GB2312"/>
                <w:sz w:val="20"/>
              </w:rPr>
              <w:t>计划</w:t>
            </w:r>
            <w:r>
              <w:rPr>
                <w:rFonts w:ascii="仿宋_GB2312" w:hAnsi="仿宋_GB2312" w:cs="仿宋_GB2312" w:eastAsia="仿宋_GB2312"/>
                <w:sz w:val="20"/>
              </w:rPr>
              <w:t>将</w:t>
            </w:r>
            <w:r>
              <w:rPr>
                <w:rFonts w:ascii="仿宋_GB2312" w:hAnsi="仿宋_GB2312" w:cs="仿宋_GB2312" w:eastAsia="仿宋_GB2312"/>
                <w:sz w:val="20"/>
              </w:rPr>
              <w:t>购置</w:t>
            </w:r>
            <w:r>
              <w:rPr>
                <w:rFonts w:ascii="仿宋_GB2312" w:hAnsi="仿宋_GB2312" w:cs="仿宋_GB2312" w:eastAsia="仿宋_GB2312"/>
                <w:sz w:val="20"/>
              </w:rPr>
              <w:t>一台新的硬件服务器，</w:t>
            </w:r>
            <w:r>
              <w:rPr>
                <w:rFonts w:ascii="仿宋_GB2312" w:hAnsi="仿宋_GB2312" w:cs="仿宋_GB2312" w:eastAsia="仿宋_GB2312"/>
                <w:sz w:val="20"/>
              </w:rPr>
              <w:t>具体要求如下</w:t>
            </w:r>
            <w:r>
              <w:rPr>
                <w:rFonts w:ascii="仿宋_GB2312" w:hAnsi="仿宋_GB2312" w:cs="仿宋_GB2312" w:eastAsia="仿宋_GB2312"/>
                <w:sz w:val="20"/>
              </w:rPr>
              <w:t>：</w:t>
            </w:r>
          </w:p>
          <w:tbl>
            <w:tblPr>
              <w:tblInd w:type="dxa" w:w="120"/>
              <w:tblBorders>
                <w:top w:val="none" w:color="000000" w:sz="4"/>
                <w:left w:val="none" w:color="000000" w:sz="4"/>
                <w:bottom w:val="none" w:color="000000" w:sz="4"/>
                <w:right w:val="none" w:color="000000" w:sz="4"/>
                <w:insideH w:val="none"/>
                <w:insideV w:val="none"/>
              </w:tblBorders>
            </w:tblPr>
            <w:tblGrid>
              <w:gridCol w:w="513"/>
              <w:gridCol w:w="2033"/>
            </w:tblGrid>
            <w:tr>
              <w:tc>
                <w:tcPr>
                  <w:tcW w:type="dxa" w:w="513"/>
                  <w:tcBorders>
                    <w:top w:val="singl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设备名称</w:t>
                  </w:r>
                </w:p>
              </w:tc>
              <w:tc>
                <w:tcPr>
                  <w:tcW w:type="dxa" w:w="2033"/>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升级要求</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沙箱硬件平台（</w:t>
                  </w:r>
                  <w:r>
                    <w:rPr>
                      <w:rFonts w:ascii="仿宋_GB2312" w:hAnsi="仿宋_GB2312" w:cs="仿宋_GB2312" w:eastAsia="仿宋_GB2312"/>
                      <w:sz w:val="20"/>
                    </w:rPr>
                    <w:t>硬件服务器</w:t>
                  </w:r>
                  <w:r>
                    <w:rPr>
                      <w:rFonts w:ascii="仿宋_GB2312" w:hAnsi="仿宋_GB2312" w:cs="仿宋_GB2312" w:eastAsia="仿宋_GB2312"/>
                      <w:sz w:val="20"/>
                    </w:rPr>
                    <w:t>）</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0"/>
                    </w:rPr>
                    <w:t>购置</w:t>
                  </w:r>
                  <w:r>
                    <w:rPr>
                      <w:rFonts w:ascii="仿宋_GB2312" w:hAnsi="仿宋_GB2312" w:cs="仿宋_GB2312" w:eastAsia="仿宋_GB2312"/>
                      <w:sz w:val="20"/>
                    </w:rPr>
                    <w:t>沙箱硬件</w:t>
                  </w:r>
                  <w:r>
                    <w:rPr>
                      <w:rFonts w:ascii="仿宋_GB2312" w:hAnsi="仿宋_GB2312" w:cs="仿宋_GB2312" w:eastAsia="仿宋_GB2312"/>
                      <w:sz w:val="20"/>
                    </w:rPr>
                    <w:t>平台（</w:t>
                  </w:r>
                  <w:r>
                    <w:rPr>
                      <w:rFonts w:ascii="仿宋_GB2312" w:hAnsi="仿宋_GB2312" w:cs="仿宋_GB2312" w:eastAsia="仿宋_GB2312"/>
                      <w:sz w:val="20"/>
                    </w:rPr>
                    <w:t>硬件服务器</w:t>
                  </w:r>
                  <w:r>
                    <w:rPr>
                      <w:rFonts w:ascii="仿宋_GB2312" w:hAnsi="仿宋_GB2312" w:cs="仿宋_GB2312" w:eastAsia="仿宋_GB2312"/>
                      <w:sz w:val="20"/>
                    </w:rPr>
                    <w:t>）</w:t>
                  </w:r>
                  <w:r>
                    <w:rPr>
                      <w:rFonts w:ascii="仿宋_GB2312" w:hAnsi="仿宋_GB2312" w:cs="仿宋_GB2312" w:eastAsia="仿宋_GB2312"/>
                      <w:sz w:val="20"/>
                    </w:rPr>
                    <w:t>一台，提供计算及存储的配置环境</w:t>
                  </w:r>
                  <w:r>
                    <w:rPr>
                      <w:rFonts w:ascii="仿宋_GB2312" w:hAnsi="仿宋_GB2312" w:cs="仿宋_GB2312" w:eastAsia="仿宋_GB2312"/>
                      <w:sz w:val="20"/>
                    </w:rPr>
                    <w:t>。</w:t>
                  </w:r>
                </w:p>
                <w:p>
                  <w:pPr>
                    <w:pStyle w:val="null3"/>
                    <w:numPr>
                      <w:ilvl w:val="0"/>
                      <w:numId w:val="3"/>
                    </w:numPr>
                    <w:jc w:val="both"/>
                  </w:pPr>
                  <w:r>
                    <w:rPr>
                      <w:rFonts w:ascii="仿宋_GB2312" w:hAnsi="仿宋_GB2312" w:cs="仿宋_GB2312" w:eastAsia="仿宋_GB2312"/>
                      <w:sz w:val="20"/>
                    </w:rPr>
                    <w:t>标准2U机架式服务器：CPU配置</w:t>
                  </w:r>
                  <w:r>
                    <w:rPr>
                      <w:rFonts w:ascii="仿宋_GB2312" w:hAnsi="仿宋_GB2312" w:cs="仿宋_GB2312" w:eastAsia="仿宋_GB2312"/>
                      <w:sz w:val="20"/>
                    </w:rPr>
                    <w:t>不低于</w:t>
                  </w:r>
                  <w:r>
                    <w:rPr>
                      <w:rFonts w:ascii="仿宋_GB2312" w:hAnsi="仿宋_GB2312" w:cs="仿宋_GB2312" w:eastAsia="仿宋_GB2312"/>
                      <w:sz w:val="20"/>
                    </w:rPr>
                    <w:t>4核3.60GHz，内存</w:t>
                  </w:r>
                  <w:r>
                    <w:rPr>
                      <w:rFonts w:ascii="仿宋_GB2312" w:hAnsi="仿宋_GB2312" w:cs="仿宋_GB2312" w:eastAsia="仿宋_GB2312"/>
                      <w:sz w:val="20"/>
                    </w:rPr>
                    <w:t>不低于</w:t>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G，硬盘</w:t>
                  </w:r>
                  <w:r>
                    <w:rPr>
                      <w:rFonts w:ascii="仿宋_GB2312" w:hAnsi="仿宋_GB2312" w:cs="仿宋_GB2312" w:eastAsia="仿宋_GB2312"/>
                      <w:sz w:val="20"/>
                    </w:rPr>
                    <w:t>不低于1</w:t>
                  </w:r>
                  <w:r>
                    <w:rPr>
                      <w:rFonts w:ascii="仿宋_GB2312" w:hAnsi="仿宋_GB2312" w:cs="仿宋_GB2312" w:eastAsia="仿宋_GB2312"/>
                      <w:sz w:val="20"/>
                    </w:rPr>
                    <w:t>TB，网口</w:t>
                  </w:r>
                  <w:r>
                    <w:rPr>
                      <w:rFonts w:ascii="仿宋_GB2312" w:hAnsi="仿宋_GB2312" w:cs="仿宋_GB2312" w:eastAsia="仿宋_GB2312"/>
                      <w:sz w:val="20"/>
                    </w:rPr>
                    <w:t>不低于2</w:t>
                  </w:r>
                  <w:r>
                    <w:rPr>
                      <w:rFonts w:ascii="仿宋_GB2312" w:hAnsi="仿宋_GB2312" w:cs="仿宋_GB2312" w:eastAsia="仿宋_GB2312"/>
                      <w:sz w:val="20"/>
                    </w:rPr>
                    <w:t>个千兆电口、</w:t>
                  </w:r>
                  <w:r>
                    <w:rPr>
                      <w:rFonts w:ascii="仿宋_GB2312" w:hAnsi="仿宋_GB2312" w:cs="仿宋_GB2312" w:eastAsia="仿宋_GB2312"/>
                      <w:sz w:val="20"/>
                    </w:rPr>
                    <w:t>2</w:t>
                  </w:r>
                  <w:r>
                    <w:rPr>
                      <w:rFonts w:ascii="仿宋_GB2312" w:hAnsi="仿宋_GB2312" w:cs="仿宋_GB2312" w:eastAsia="仿宋_GB2312"/>
                      <w:sz w:val="20"/>
                    </w:rPr>
                    <w:t>个</w:t>
                  </w:r>
                  <w:r>
                    <w:rPr>
                      <w:rFonts w:ascii="仿宋_GB2312" w:hAnsi="仿宋_GB2312" w:cs="仿宋_GB2312" w:eastAsia="仿宋_GB2312"/>
                      <w:sz w:val="20"/>
                    </w:rPr>
                    <w:t>千</w:t>
                  </w:r>
                  <w:r>
                    <w:rPr>
                      <w:rFonts w:ascii="仿宋_GB2312" w:hAnsi="仿宋_GB2312" w:cs="仿宋_GB2312" w:eastAsia="仿宋_GB2312"/>
                      <w:sz w:val="20"/>
                    </w:rPr>
                    <w:t>兆光口、2*USB接口，冗余双电源。</w:t>
                  </w:r>
                </w:p>
              </w:tc>
            </w:tr>
          </w:tbl>
          <w:p>
            <w:pPr>
              <w:pStyle w:val="null3"/>
              <w:numPr>
                <w:ilvl w:val="2"/>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 xml:space="preserve">   ★1.6.2.2</w:t>
            </w:r>
            <w:r>
              <w:rPr>
                <w:rFonts w:ascii="仿宋_GB2312" w:hAnsi="仿宋_GB2312" w:cs="仿宋_GB2312" w:eastAsia="仿宋_GB2312"/>
                <w:sz w:val="20"/>
                <w:b/>
              </w:rPr>
              <w:t>沙箱系统软件升级</w:t>
            </w:r>
          </w:p>
          <w:p>
            <w:pPr>
              <w:pStyle w:val="null3"/>
              <w:ind w:firstLine="400"/>
              <w:jc w:val="both"/>
            </w:pPr>
            <w:r>
              <w:rPr>
                <w:rFonts w:ascii="仿宋_GB2312" w:hAnsi="仿宋_GB2312" w:cs="仿宋_GB2312" w:eastAsia="仿宋_GB2312"/>
                <w:sz w:val="20"/>
              </w:rPr>
              <w:t>当前，沙箱系统所应用的软件版本过低，且长时间未进行升级。而软件版本过低极易让系统遭受各类网络攻击，不仅影响整个沙箱系统的稳定运行，还会对财政业务的正常开展造成不良影响。</w:t>
            </w:r>
          </w:p>
          <w:p>
            <w:pPr>
              <w:pStyle w:val="null3"/>
              <w:ind w:firstLine="400"/>
              <w:jc w:val="both"/>
            </w:pPr>
            <w:r>
              <w:rPr>
                <w:rFonts w:ascii="仿宋_GB2312" w:hAnsi="仿宋_GB2312" w:cs="仿宋_GB2312" w:eastAsia="仿宋_GB2312"/>
                <w:sz w:val="20"/>
              </w:rPr>
              <w:t>此次计划对原有的沙箱系统软件开展升级工作，具体要求如下：</w:t>
            </w:r>
          </w:p>
          <w:tbl>
            <w:tblPr>
              <w:tblInd w:type="dxa" w:w="120"/>
              <w:tblBorders>
                <w:top w:val="none" w:color="000000" w:sz="4"/>
                <w:left w:val="none" w:color="000000" w:sz="4"/>
                <w:bottom w:val="none" w:color="000000" w:sz="4"/>
                <w:right w:val="none" w:color="000000" w:sz="4"/>
                <w:insideH w:val="none"/>
                <w:insideV w:val="none"/>
              </w:tblBorders>
            </w:tblPr>
            <w:tblGrid>
              <w:gridCol w:w="435"/>
              <w:gridCol w:w="2111"/>
            </w:tblGrid>
            <w:tr>
              <w:tc>
                <w:tcPr>
                  <w:tcW w:type="dxa" w:w="435"/>
                  <w:tcBorders>
                    <w:top w:val="singl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设备名称</w:t>
                  </w:r>
                </w:p>
              </w:tc>
              <w:tc>
                <w:tcPr>
                  <w:tcW w:type="dxa" w:w="2111"/>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升级</w:t>
                  </w:r>
                  <w:r>
                    <w:rPr>
                      <w:rFonts w:ascii="仿宋_GB2312" w:hAnsi="仿宋_GB2312" w:cs="仿宋_GB2312" w:eastAsia="仿宋_GB2312"/>
                      <w:sz w:val="20"/>
                      <w:b/>
                    </w:rPr>
                    <w:t>要求</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沙箱系统软件</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0"/>
                    </w:rPr>
                    <w:t>对原有的沙箱系统软件版本升级为最新并兼容硬件平台正常运行</w:t>
                  </w:r>
                  <w:r>
                    <w:rPr>
                      <w:rFonts w:ascii="仿宋_GB2312" w:hAnsi="仿宋_GB2312" w:cs="仿宋_GB2312" w:eastAsia="仿宋_GB2312"/>
                      <w:sz w:val="20"/>
                    </w:rPr>
                    <w:t>。</w:t>
                  </w:r>
                </w:p>
                <w:p>
                  <w:pPr>
                    <w:pStyle w:val="null3"/>
                    <w:numPr>
                      <w:ilvl w:val="0"/>
                      <w:numId w:val="3"/>
                    </w:numPr>
                    <w:jc w:val="both"/>
                  </w:pPr>
                  <w:r>
                    <w:rPr>
                      <w:rFonts w:ascii="仿宋_GB2312" w:hAnsi="仿宋_GB2312" w:cs="仿宋_GB2312" w:eastAsia="仿宋_GB2312"/>
                      <w:sz w:val="20"/>
                    </w:rPr>
                    <w:t>升级后支持包含终端管理、用户管理、应用管理、安全策略管理、安全防护、日志报表、数据可视化、电子围栏等功能，提升用户体验。</w:t>
                  </w:r>
                </w:p>
                <w:p>
                  <w:pPr>
                    <w:pStyle w:val="null3"/>
                    <w:numPr>
                      <w:ilvl w:val="0"/>
                      <w:numId w:val="3"/>
                    </w:numPr>
                    <w:jc w:val="both"/>
                  </w:pPr>
                  <w:r>
                    <w:rPr>
                      <w:rFonts w:ascii="仿宋_GB2312" w:hAnsi="仿宋_GB2312" w:cs="仿宋_GB2312" w:eastAsia="仿宋_GB2312"/>
                      <w:sz w:val="20"/>
                    </w:rPr>
                    <w:t>升级后支持对原有沙箱客户端进行统一管理，查看已接入的终端设备，在列表中可对终端设备进行相关操作。</w:t>
                  </w:r>
                </w:p>
                <w:p>
                  <w:pPr>
                    <w:pStyle w:val="null3"/>
                    <w:numPr>
                      <w:ilvl w:val="0"/>
                      <w:numId w:val="3"/>
                    </w:numPr>
                    <w:jc w:val="both"/>
                  </w:pPr>
                  <w:r>
                    <w:rPr>
                      <w:rFonts w:ascii="仿宋_GB2312" w:hAnsi="仿宋_GB2312" w:cs="仿宋_GB2312" w:eastAsia="仿宋_GB2312"/>
                      <w:sz w:val="20"/>
                    </w:rPr>
                    <w:t>升级后支持对原有沙箱客户端提供病毒防护能力，包括远程终端扫描、病毒日志记录、病毒库管理，确保终端设备的安全性。</w:t>
                  </w:r>
                </w:p>
                <w:p>
                  <w:pPr>
                    <w:pStyle w:val="null3"/>
                    <w:numPr>
                      <w:ilvl w:val="0"/>
                      <w:numId w:val="3"/>
                    </w:numPr>
                    <w:jc w:val="both"/>
                  </w:pPr>
                  <w:r>
                    <w:rPr>
                      <w:rFonts w:ascii="仿宋_GB2312" w:hAnsi="仿宋_GB2312" w:cs="仿宋_GB2312" w:eastAsia="仿宋_GB2312"/>
                      <w:sz w:val="20"/>
                    </w:rPr>
                    <w:t>升级后支持通过应用沙箱隔离技术，保障敏感应用的运行安全和数据安全。</w:t>
                  </w:r>
                </w:p>
              </w:tc>
            </w:tr>
          </w:tbl>
          <w:p>
            <w:pPr>
              <w:pStyle w:val="null3"/>
              <w:numPr>
                <w:ilvl w:val="2"/>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 xml:space="preserve">   ★1.6.2.3</w:t>
            </w:r>
            <w:r>
              <w:rPr>
                <w:rFonts w:ascii="仿宋_GB2312" w:hAnsi="仿宋_GB2312" w:cs="仿宋_GB2312" w:eastAsia="仿宋_GB2312"/>
                <w:sz w:val="20"/>
                <w:b/>
              </w:rPr>
              <w:t>沙箱系统客户端升级</w:t>
            </w:r>
          </w:p>
          <w:p>
            <w:pPr>
              <w:pStyle w:val="null3"/>
              <w:ind w:firstLine="400"/>
              <w:jc w:val="both"/>
            </w:pPr>
            <w:r>
              <w:rPr>
                <w:rFonts w:ascii="仿宋_GB2312" w:hAnsi="仿宋_GB2312" w:cs="仿宋_GB2312" w:eastAsia="仿宋_GB2312"/>
                <w:sz w:val="20"/>
              </w:rPr>
              <w:t>目前，陕西省财政厅现有的沙箱客户端授权点数为</w:t>
            </w:r>
            <w:r>
              <w:rPr>
                <w:rFonts w:ascii="仿宋_GB2312" w:hAnsi="仿宋_GB2312" w:cs="仿宋_GB2312" w:eastAsia="仿宋_GB2312"/>
                <w:sz w:val="20"/>
              </w:rPr>
              <w:t>1</w:t>
            </w:r>
            <w:r>
              <w:rPr>
                <w:rFonts w:ascii="仿宋_GB2312" w:hAnsi="仿宋_GB2312" w:cs="仿宋_GB2312" w:eastAsia="仿宋_GB2312"/>
                <w:sz w:val="20"/>
              </w:rPr>
              <w:t>00点，难以满足未来终端数量不断增长的需求。基于此，本次计划对沙箱客户端授权点数进行增加，拟将授权升级数量提升至300点，具体要求如下：</w:t>
            </w:r>
          </w:p>
          <w:tbl>
            <w:tblPr>
              <w:tblInd w:type="dxa" w:w="120"/>
              <w:tblBorders>
                <w:top w:val="none" w:color="000000" w:sz="4"/>
                <w:left w:val="none" w:color="000000" w:sz="4"/>
                <w:bottom w:val="none" w:color="000000" w:sz="4"/>
                <w:right w:val="none" w:color="000000" w:sz="4"/>
                <w:insideH w:val="none"/>
                <w:insideV w:val="none"/>
              </w:tblBorders>
            </w:tblPr>
            <w:tblGrid>
              <w:gridCol w:w="559"/>
              <w:gridCol w:w="1987"/>
            </w:tblGrid>
            <w:tr>
              <w:tc>
                <w:tcPr>
                  <w:tcW w:type="dxa" w:w="559"/>
                  <w:tcBorders>
                    <w:top w:val="single" w:color="000000" w:sz="4"/>
                    <w:left w:val="single" w:color="000000" w:sz="4"/>
                    <w:bottom w:val="single" w:color="000000" w:sz="4"/>
                    <w:right w:val="single" w:color="000000" w:sz="4"/>
                  </w:tcBorders>
                  <w:shd w:fill="C5E0B3"/>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设备名称</w:t>
                  </w:r>
                </w:p>
              </w:tc>
              <w:tc>
                <w:tcPr>
                  <w:tcW w:type="dxa" w:w="1987"/>
                  <w:tcBorders>
                    <w:top w:val="single" w:color="000000" w:sz="4"/>
                    <w:left w:val="none" w:color="000000" w:sz="4"/>
                    <w:bottom w:val="single" w:color="000000" w:sz="4"/>
                    <w:right w:val="single" w:color="000000" w:sz="4"/>
                  </w:tcBorders>
                  <w:shd w:fill="C5E0B3"/>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升级</w:t>
                  </w:r>
                  <w:r>
                    <w:rPr>
                      <w:rFonts w:ascii="仿宋_GB2312" w:hAnsi="仿宋_GB2312" w:cs="仿宋_GB2312" w:eastAsia="仿宋_GB2312"/>
                      <w:sz w:val="20"/>
                      <w:b/>
                    </w:rPr>
                    <w:t>要求</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沙箱系统客户端</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0"/>
                    </w:rPr>
                    <w:t>购置</w:t>
                  </w:r>
                  <w:r>
                    <w:rPr>
                      <w:rFonts w:ascii="仿宋_GB2312" w:hAnsi="仿宋_GB2312" w:cs="仿宋_GB2312" w:eastAsia="仿宋_GB2312"/>
                      <w:sz w:val="20"/>
                    </w:rPr>
                    <w:t>沙箱</w:t>
                  </w:r>
                  <w:r>
                    <w:rPr>
                      <w:rFonts w:ascii="仿宋_GB2312" w:hAnsi="仿宋_GB2312" w:cs="仿宋_GB2312" w:eastAsia="仿宋_GB2312"/>
                      <w:sz w:val="20"/>
                    </w:rPr>
                    <w:t>系统客户端100个许可点数，升级后授权数量提升至300点。</w:t>
                  </w:r>
                </w:p>
                <w:p>
                  <w:pPr>
                    <w:pStyle w:val="null3"/>
                    <w:numPr>
                      <w:ilvl w:val="0"/>
                      <w:numId w:val="3"/>
                    </w:numPr>
                    <w:jc w:val="both"/>
                  </w:pPr>
                  <w:r>
                    <w:rPr>
                      <w:rFonts w:ascii="仿宋_GB2312" w:hAnsi="仿宋_GB2312" w:cs="仿宋_GB2312" w:eastAsia="仿宋_GB2312"/>
                      <w:sz w:val="20"/>
                    </w:rPr>
                    <w:t>支持客户端平滑升级，不影响上一版本功能使用。支持</w:t>
                  </w:r>
                  <w:r>
                    <w:rPr>
                      <w:rFonts w:ascii="仿宋_GB2312" w:hAnsi="仿宋_GB2312" w:cs="仿宋_GB2312" w:eastAsia="仿宋_GB2312"/>
                      <w:sz w:val="20"/>
                    </w:rPr>
                    <w:t>通过服务器推送，终端提醒方式，实现客户端自动升级。</w:t>
                  </w:r>
                </w:p>
                <w:p>
                  <w:pPr>
                    <w:pStyle w:val="null3"/>
                    <w:numPr>
                      <w:ilvl w:val="0"/>
                      <w:numId w:val="3"/>
                    </w:numPr>
                    <w:jc w:val="both"/>
                  </w:pPr>
                  <w:r>
                    <w:rPr>
                      <w:rFonts w:ascii="仿宋_GB2312" w:hAnsi="仿宋_GB2312" w:cs="仿宋_GB2312" w:eastAsia="仿宋_GB2312"/>
                      <w:sz w:val="20"/>
                    </w:rPr>
                    <w:t>升级</w:t>
                  </w:r>
                  <w:r>
                    <w:rPr>
                      <w:rFonts w:ascii="仿宋_GB2312" w:hAnsi="仿宋_GB2312" w:cs="仿宋_GB2312" w:eastAsia="仿宋_GB2312"/>
                      <w:sz w:val="20"/>
                    </w:rPr>
                    <w:t>后客户端支持</w:t>
                  </w:r>
                  <w:r>
                    <w:rPr>
                      <w:rFonts w:ascii="仿宋_GB2312" w:hAnsi="仿宋_GB2312" w:cs="仿宋_GB2312" w:eastAsia="仿宋_GB2312"/>
                      <w:sz w:val="20"/>
                    </w:rPr>
                    <w:t>集成VPN功能，终端激活后，使用沙箱客户端登录</w:t>
                  </w:r>
                  <w:r>
                    <w:rPr>
                      <w:rFonts w:ascii="仿宋_GB2312" w:hAnsi="仿宋_GB2312" w:cs="仿宋_GB2312" w:eastAsia="仿宋_GB2312"/>
                      <w:sz w:val="20"/>
                    </w:rPr>
                    <w:t>自动调用VPN功能，实现远程安全接入。</w:t>
                  </w:r>
                </w:p>
                <w:p>
                  <w:pPr>
                    <w:pStyle w:val="null3"/>
                    <w:numPr>
                      <w:ilvl w:val="0"/>
                      <w:numId w:val="3"/>
                    </w:numPr>
                    <w:jc w:val="both"/>
                  </w:pPr>
                  <w:r>
                    <w:rPr>
                      <w:rFonts w:ascii="仿宋_GB2312" w:hAnsi="仿宋_GB2312" w:cs="仿宋_GB2312" w:eastAsia="仿宋_GB2312"/>
                      <w:sz w:val="20"/>
                    </w:rPr>
                    <w:t>支持</w:t>
                  </w:r>
                  <w:r>
                    <w:rPr>
                      <w:rFonts w:ascii="仿宋_GB2312" w:hAnsi="仿宋_GB2312" w:cs="仿宋_GB2312" w:eastAsia="仿宋_GB2312"/>
                      <w:sz w:val="20"/>
                    </w:rPr>
                    <w:t>对</w:t>
                  </w:r>
                  <w:r>
                    <w:rPr>
                      <w:rFonts w:ascii="仿宋_GB2312" w:hAnsi="仿宋_GB2312" w:cs="仿宋_GB2312" w:eastAsia="仿宋_GB2312"/>
                      <w:sz w:val="20"/>
                    </w:rPr>
                    <w:t>沙箱系统</w:t>
                  </w:r>
                  <w:r>
                    <w:rPr>
                      <w:rFonts w:ascii="仿宋_GB2312" w:hAnsi="仿宋_GB2312" w:cs="仿宋_GB2312" w:eastAsia="仿宋_GB2312"/>
                      <w:sz w:val="20"/>
                    </w:rPr>
                    <w:t>客户端进行应用加固处理</w:t>
                  </w:r>
                  <w:r>
                    <w:rPr>
                      <w:rFonts w:ascii="仿宋_GB2312" w:hAnsi="仿宋_GB2312" w:cs="仿宋_GB2312" w:eastAsia="仿宋_GB2312"/>
                      <w:sz w:val="20"/>
                    </w:rPr>
                    <w:t>。</w:t>
                  </w:r>
                </w:p>
              </w:tc>
            </w:tr>
          </w:tbl>
          <w:p>
            <w:pPr>
              <w:pStyle w:val="null3"/>
              <w:numPr>
                <w:ilvl w:val="1"/>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 xml:space="preserve">  1.6.3安全升级周期</w:t>
            </w:r>
          </w:p>
          <w:p>
            <w:pPr>
              <w:pStyle w:val="null3"/>
              <w:ind w:firstLine="400"/>
              <w:jc w:val="left"/>
            </w:pPr>
            <w:r>
              <w:rPr>
                <w:rFonts w:ascii="仿宋_GB2312" w:hAnsi="仿宋_GB2312" w:cs="仿宋_GB2312" w:eastAsia="仿宋_GB2312"/>
                <w:sz w:val="20"/>
              </w:rPr>
              <w:t>合同签订后三个月。</w:t>
            </w:r>
          </w:p>
          <w:p>
            <w:pPr>
              <w:pStyle w:val="null3"/>
              <w:jc w:val="both"/>
              <w:outlineLvl w:val="0"/>
            </w:pPr>
            <w:r>
              <w:rPr>
                <w:rFonts w:ascii="仿宋_GB2312" w:hAnsi="仿宋_GB2312" w:cs="仿宋_GB2312" w:eastAsia="仿宋_GB2312"/>
                <w:sz w:val="20"/>
                <w:b/>
              </w:rPr>
              <w:t>三、项目质量、安全及技术规格</w:t>
            </w:r>
          </w:p>
          <w:p>
            <w:pPr>
              <w:pStyle w:val="null3"/>
              <w:numPr>
                <w:ilvl w:val="0"/>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1.7项目质量要求</w:t>
            </w:r>
          </w:p>
          <w:p>
            <w:pPr>
              <w:pStyle w:val="null3"/>
              <w:ind w:firstLine="400"/>
              <w:jc w:val="both"/>
            </w:pPr>
            <w:r>
              <w:rPr>
                <w:rFonts w:ascii="仿宋_GB2312" w:hAnsi="仿宋_GB2312" w:cs="仿宋_GB2312" w:eastAsia="仿宋_GB2312"/>
                <w:sz w:val="20"/>
              </w:rPr>
              <w:t>为保证项目的质量，需要依据项目的质量要求，有针对性地建立完善的项目质量保证体系。同时需要给出重点质量保障活动计划。</w:t>
            </w:r>
          </w:p>
          <w:p>
            <w:pPr>
              <w:pStyle w:val="null3"/>
              <w:ind w:firstLine="400"/>
              <w:jc w:val="both"/>
            </w:pPr>
            <w:r>
              <w:rPr>
                <w:rFonts w:ascii="仿宋_GB2312" w:hAnsi="仿宋_GB2312" w:cs="仿宋_GB2312" w:eastAsia="仿宋_GB2312"/>
                <w:sz w:val="20"/>
              </w:rPr>
              <w:t>项目质量保证体系将包括五个方面内容：</w:t>
            </w:r>
          </w:p>
          <w:p>
            <w:pPr>
              <w:pStyle w:val="null3"/>
              <w:ind w:firstLine="400"/>
              <w:jc w:val="both"/>
            </w:pPr>
            <w:r>
              <w:rPr>
                <w:rFonts w:ascii="仿宋_GB2312" w:hAnsi="仿宋_GB2312" w:cs="仿宋_GB2312" w:eastAsia="仿宋_GB2312"/>
                <w:sz w:val="20"/>
              </w:rPr>
              <w:t>1．质量要素</w:t>
            </w:r>
          </w:p>
          <w:p>
            <w:pPr>
              <w:pStyle w:val="null3"/>
              <w:ind w:firstLine="400"/>
              <w:jc w:val="both"/>
            </w:pPr>
            <w:r>
              <w:rPr>
                <w:rFonts w:ascii="仿宋_GB2312" w:hAnsi="仿宋_GB2312" w:cs="仿宋_GB2312" w:eastAsia="仿宋_GB2312"/>
                <w:sz w:val="20"/>
              </w:rPr>
              <w:t>针对项目质量需求，明确说明在本项目中的关键质量控制环节。</w:t>
            </w:r>
          </w:p>
          <w:p>
            <w:pPr>
              <w:pStyle w:val="null3"/>
              <w:ind w:firstLine="400"/>
              <w:jc w:val="both"/>
            </w:pPr>
            <w:r>
              <w:rPr>
                <w:rFonts w:ascii="仿宋_GB2312" w:hAnsi="仿宋_GB2312" w:cs="仿宋_GB2312" w:eastAsia="仿宋_GB2312"/>
                <w:sz w:val="20"/>
              </w:rPr>
              <w:t>2．项目质量保障</w:t>
            </w:r>
          </w:p>
          <w:p>
            <w:pPr>
              <w:pStyle w:val="null3"/>
              <w:ind w:firstLine="400"/>
              <w:jc w:val="both"/>
            </w:pPr>
            <w:r>
              <w:rPr>
                <w:rFonts w:ascii="仿宋_GB2312" w:hAnsi="仿宋_GB2312" w:cs="仿宋_GB2312" w:eastAsia="仿宋_GB2312"/>
                <w:sz w:val="20"/>
              </w:rPr>
              <w:t>建立项目质量保障小组，定义每一位项目人员的质量职责。</w:t>
            </w:r>
          </w:p>
          <w:p>
            <w:pPr>
              <w:pStyle w:val="null3"/>
              <w:ind w:firstLine="400"/>
              <w:jc w:val="both"/>
            </w:pPr>
            <w:r>
              <w:rPr>
                <w:rFonts w:ascii="仿宋_GB2312" w:hAnsi="仿宋_GB2312" w:cs="仿宋_GB2312" w:eastAsia="仿宋_GB2312"/>
                <w:sz w:val="20"/>
              </w:rPr>
              <w:t>3．项目质量保障工作程序</w:t>
            </w:r>
          </w:p>
          <w:p>
            <w:pPr>
              <w:pStyle w:val="null3"/>
              <w:ind w:firstLine="400"/>
              <w:jc w:val="both"/>
            </w:pPr>
            <w:r>
              <w:rPr>
                <w:rFonts w:ascii="仿宋_GB2312" w:hAnsi="仿宋_GB2312" w:cs="仿宋_GB2312" w:eastAsia="仿宋_GB2312"/>
                <w:sz w:val="20"/>
              </w:rPr>
              <w:t>说明本项目质量保障的工作程序。</w:t>
            </w:r>
          </w:p>
          <w:p>
            <w:pPr>
              <w:pStyle w:val="null3"/>
              <w:ind w:firstLine="400"/>
              <w:jc w:val="both"/>
            </w:pPr>
            <w:r>
              <w:rPr>
                <w:rFonts w:ascii="仿宋_GB2312" w:hAnsi="仿宋_GB2312" w:cs="仿宋_GB2312" w:eastAsia="仿宋_GB2312"/>
                <w:sz w:val="20"/>
              </w:rPr>
              <w:t>4．项目文档管理</w:t>
            </w:r>
          </w:p>
          <w:p>
            <w:pPr>
              <w:pStyle w:val="null3"/>
              <w:ind w:firstLine="400"/>
              <w:jc w:val="both"/>
            </w:pPr>
            <w:r>
              <w:rPr>
                <w:rFonts w:ascii="仿宋_GB2312" w:hAnsi="仿宋_GB2312" w:cs="仿宋_GB2312" w:eastAsia="仿宋_GB2312"/>
                <w:sz w:val="20"/>
              </w:rPr>
              <w:t>说明对项目文档收集、归档的工作程序。</w:t>
            </w:r>
          </w:p>
          <w:p>
            <w:pPr>
              <w:pStyle w:val="null3"/>
              <w:ind w:firstLine="400"/>
              <w:jc w:val="both"/>
            </w:pPr>
            <w:r>
              <w:rPr>
                <w:rFonts w:ascii="仿宋_GB2312" w:hAnsi="仿宋_GB2312" w:cs="仿宋_GB2312" w:eastAsia="仿宋_GB2312"/>
                <w:sz w:val="20"/>
              </w:rPr>
              <w:t>5．项目配置管理</w:t>
            </w:r>
          </w:p>
          <w:p>
            <w:pPr>
              <w:pStyle w:val="null3"/>
              <w:ind w:firstLine="400"/>
              <w:jc w:val="both"/>
            </w:pPr>
            <w:r>
              <w:rPr>
                <w:rFonts w:ascii="仿宋_GB2312" w:hAnsi="仿宋_GB2312" w:cs="仿宋_GB2312" w:eastAsia="仿宋_GB2312"/>
                <w:sz w:val="20"/>
              </w:rPr>
              <w:t>说明依据配置管理规范将项目产品及项目活动纳入配置管理之中，并依据《配置管理规程》实现对变更的控制。</w:t>
            </w:r>
          </w:p>
          <w:p>
            <w:pPr>
              <w:pStyle w:val="null3"/>
              <w:numPr>
                <w:ilvl w:val="0"/>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1.8项目安全要求</w:t>
            </w:r>
          </w:p>
          <w:p>
            <w:pPr>
              <w:pStyle w:val="null3"/>
              <w:jc w:val="left"/>
            </w:pPr>
            <w:r>
              <w:rPr>
                <w:rFonts w:ascii="仿宋_GB2312" w:hAnsi="仿宋_GB2312" w:cs="仿宋_GB2312" w:eastAsia="仿宋_GB2312"/>
                <w:sz w:val="20"/>
                <w:b/>
              </w:rPr>
              <w:t>1.8.1应用安全要求</w:t>
            </w:r>
          </w:p>
          <w:p>
            <w:pPr>
              <w:pStyle w:val="null3"/>
              <w:ind w:firstLine="400"/>
              <w:jc w:val="both"/>
            </w:pPr>
            <w:r>
              <w:rPr>
                <w:rFonts w:ascii="仿宋_GB2312" w:hAnsi="仿宋_GB2312" w:cs="仿宋_GB2312" w:eastAsia="仿宋_GB2312"/>
                <w:sz w:val="20"/>
              </w:rPr>
              <w:t>本次陕西省财政厅行政办公系统沙箱全生命周期内，安全升级应按照《网络安全法》、《信息安全等级保护</w:t>
            </w:r>
            <w:r>
              <w:rPr>
                <w:rFonts w:ascii="仿宋_GB2312" w:hAnsi="仿宋_GB2312" w:cs="仿宋_GB2312" w:eastAsia="仿宋_GB2312"/>
                <w:sz w:val="20"/>
              </w:rPr>
              <w:t>2.0》要求，制定相应的安全升级方案。在安全升级设计阶段，依据相关安全规范，确保安全升级过程中业务系统的高可靠性与强防御性。</w:t>
            </w:r>
          </w:p>
          <w:p>
            <w:pPr>
              <w:pStyle w:val="null3"/>
              <w:ind w:firstLine="400"/>
              <w:jc w:val="both"/>
            </w:pPr>
            <w:r>
              <w:rPr>
                <w:rFonts w:ascii="仿宋_GB2312" w:hAnsi="仿宋_GB2312" w:cs="仿宋_GB2312" w:eastAsia="仿宋_GB2312"/>
                <w:sz w:val="20"/>
              </w:rPr>
              <w:t>陕西省财政厅行政办公系统沙箱安全升级工作完成后，上线前应开展全面的安全风险评估以及脆弱性扫描，模拟各类可能的安全攻击场景，精准识别潜在风险点，确保系统上线前无安全隐患。系统安全升级方案、安全风险评估报告等，将作为系统上线以及后续验收的关键资料，只有各项资料完整且通过严格审核，系统方可正式上线投入使用。</w:t>
            </w:r>
          </w:p>
          <w:p>
            <w:pPr>
              <w:pStyle w:val="null3"/>
              <w:numPr>
                <w:ilvl w:val="1"/>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1.8.2数据安全及保密要求</w:t>
            </w:r>
          </w:p>
          <w:p>
            <w:pPr>
              <w:pStyle w:val="null3"/>
              <w:ind w:firstLine="400"/>
              <w:jc w:val="both"/>
            </w:pPr>
            <w:r>
              <w:rPr>
                <w:rFonts w:ascii="仿宋_GB2312" w:hAnsi="仿宋_GB2312" w:cs="仿宋_GB2312" w:eastAsia="仿宋_GB2312"/>
                <w:sz w:val="20"/>
              </w:rPr>
              <w:t>承建方与采购方签订保密协议，遵守采购方保密要求，对服务过程中接触的采购方重要资产、核心数据、敏感信息等严格保密，禁止非授权的私自访问、下载、保留、传播、恶意破坏等行为，不得擅自留存、使用、泄露或向他人提供采购方数据，不得将采购方数据用于商业用途，不得向境外提供数据；承建方服务、权利范围仅限合同约定范围，在服务过程中因未经授权许可行为而产生的安全问题由承建方承担全部责任；如发生上述行为，采购方有权终止合同，并保留法律诉讼的权利，构成犯罪的，依法追究刑事责任。</w:t>
            </w:r>
          </w:p>
          <w:p>
            <w:pPr>
              <w:pStyle w:val="null3"/>
              <w:numPr>
                <w:ilvl w:val="0"/>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1.9系统测试要求</w:t>
            </w:r>
          </w:p>
          <w:p>
            <w:pPr>
              <w:pStyle w:val="null3"/>
              <w:ind w:firstLine="400"/>
              <w:jc w:val="both"/>
            </w:pPr>
            <w:r>
              <w:rPr>
                <w:rFonts w:ascii="仿宋_GB2312" w:hAnsi="仿宋_GB2312" w:cs="仿宋_GB2312" w:eastAsia="仿宋_GB2312"/>
                <w:sz w:val="20"/>
              </w:rPr>
              <w:t>陕西省财政厅行政办公系统沙箱安全升级完毕需要在实际环境进行试运行，通过试运行一方面测试系统稳定情况建立系统同财政业务之间的默契同时加强对业务人员进行培训。</w:t>
            </w:r>
          </w:p>
          <w:p>
            <w:pPr>
              <w:pStyle w:val="null3"/>
              <w:ind w:firstLine="400"/>
              <w:jc w:val="both"/>
            </w:pPr>
            <w:r>
              <w:rPr>
                <w:rFonts w:ascii="仿宋_GB2312" w:hAnsi="仿宋_GB2312" w:cs="仿宋_GB2312" w:eastAsia="仿宋_GB2312"/>
                <w:sz w:val="20"/>
              </w:rPr>
              <w:t>根据系统建设情况，依照测试用例分别进行系统的功能测试、系统测试和性能测试。</w:t>
            </w:r>
          </w:p>
          <w:p>
            <w:pPr>
              <w:pStyle w:val="null3"/>
              <w:ind w:firstLine="400"/>
              <w:jc w:val="both"/>
            </w:pPr>
            <w:r>
              <w:rPr>
                <w:rFonts w:ascii="仿宋_GB2312" w:hAnsi="仿宋_GB2312" w:cs="仿宋_GB2312" w:eastAsia="仿宋_GB2312"/>
                <w:sz w:val="20"/>
              </w:rPr>
              <w:t>1.功能测试，也称确认测试，根据软件功能描述考察应用系统软件功能与用户需求是否一致。</w:t>
            </w:r>
          </w:p>
          <w:p>
            <w:pPr>
              <w:pStyle w:val="null3"/>
              <w:ind w:firstLine="400"/>
              <w:jc w:val="both"/>
            </w:pPr>
            <w:r>
              <w:rPr>
                <w:rFonts w:ascii="仿宋_GB2312" w:hAnsi="仿宋_GB2312" w:cs="仿宋_GB2312" w:eastAsia="仿宋_GB2312"/>
                <w:sz w:val="20"/>
              </w:rPr>
              <w:t>2.系统测试，基于系统整体需求规格说明，考察软件是否满足整个系统总的功能和性能要求，应覆盖系统所有的部件。</w:t>
            </w:r>
          </w:p>
          <w:p>
            <w:pPr>
              <w:pStyle w:val="null3"/>
              <w:ind w:firstLine="400"/>
              <w:jc w:val="both"/>
            </w:pPr>
            <w:r>
              <w:rPr>
                <w:rFonts w:ascii="仿宋_GB2312" w:hAnsi="仿宋_GB2312" w:cs="仿宋_GB2312" w:eastAsia="仿宋_GB2312"/>
                <w:sz w:val="20"/>
              </w:rPr>
              <w:t>3、性能测试，需支持财政并发用户不少于300人在线登录操作，在业务高峰期避免业务处理出现高延迟。</w:t>
            </w:r>
          </w:p>
          <w:p>
            <w:pPr>
              <w:pStyle w:val="null3"/>
              <w:numPr>
                <w:ilvl w:val="0"/>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1.10技术要求</w:t>
            </w:r>
          </w:p>
          <w:p>
            <w:pPr>
              <w:pStyle w:val="null3"/>
              <w:ind w:firstLine="400"/>
              <w:jc w:val="both"/>
            </w:pPr>
            <w:r>
              <w:rPr>
                <w:rFonts w:ascii="仿宋_GB2312" w:hAnsi="仿宋_GB2312" w:cs="仿宋_GB2312" w:eastAsia="仿宋_GB2312"/>
                <w:sz w:val="20"/>
              </w:rPr>
              <w:t>本系统的应用范围主要面向陕西省财政厅</w:t>
            </w:r>
            <w:r>
              <w:rPr>
                <w:rFonts w:ascii="仿宋_GB2312" w:hAnsi="仿宋_GB2312" w:cs="仿宋_GB2312" w:eastAsia="仿宋_GB2312"/>
                <w:sz w:val="20"/>
              </w:rPr>
              <w:t>的移动</w:t>
            </w:r>
            <w:r>
              <w:rPr>
                <w:rFonts w:ascii="仿宋_GB2312" w:hAnsi="仿宋_GB2312" w:cs="仿宋_GB2312" w:eastAsia="仿宋_GB2312"/>
                <w:sz w:val="20"/>
              </w:rPr>
              <w:t>端办公使用人员，</w:t>
            </w:r>
            <w:r>
              <w:rPr>
                <w:rFonts w:ascii="仿宋_GB2312" w:hAnsi="仿宋_GB2312" w:cs="仿宋_GB2312" w:eastAsia="仿宋_GB2312"/>
                <w:sz w:val="20"/>
              </w:rPr>
              <w:t>能够有效地监测和管理移动终端的使用情况，保障终端数据的安全，提高移动终端设备用户的使用体验和工作效率，</w:t>
            </w:r>
            <w:r>
              <w:rPr>
                <w:rFonts w:ascii="仿宋_GB2312" w:hAnsi="仿宋_GB2312" w:cs="仿宋_GB2312" w:eastAsia="仿宋_GB2312"/>
                <w:sz w:val="20"/>
              </w:rPr>
              <w:t>同时</w:t>
            </w:r>
            <w:r>
              <w:rPr>
                <w:rFonts w:ascii="仿宋_GB2312" w:hAnsi="仿宋_GB2312" w:cs="仿宋_GB2312" w:eastAsia="仿宋_GB2312"/>
                <w:sz w:val="20"/>
              </w:rPr>
              <w:t>帮助加强对移动设备的管理控制以及安全防范。</w:t>
            </w:r>
          </w:p>
          <w:p>
            <w:pPr>
              <w:pStyle w:val="null3"/>
              <w:ind w:firstLine="400"/>
              <w:jc w:val="both"/>
            </w:pPr>
            <w:r>
              <w:rPr>
                <w:rFonts w:ascii="仿宋_GB2312" w:hAnsi="仿宋_GB2312" w:cs="仿宋_GB2312" w:eastAsia="仿宋_GB2312"/>
                <w:sz w:val="20"/>
              </w:rPr>
              <w:t>系统主要技术需求包括：</w:t>
            </w:r>
          </w:p>
          <w:p>
            <w:pPr>
              <w:pStyle w:val="null3"/>
              <w:ind w:firstLine="400"/>
              <w:jc w:val="both"/>
            </w:pPr>
            <w:r>
              <w:rPr>
                <w:rFonts w:ascii="仿宋_GB2312" w:hAnsi="仿宋_GB2312" w:cs="仿宋_GB2312" w:eastAsia="仿宋_GB2312"/>
                <w:sz w:val="20"/>
              </w:rPr>
              <w:t>1、功能需包含用户管理、移动终端设备管理、应用管理、运维管理与行政办公系统和CA系统兼容；</w:t>
            </w:r>
          </w:p>
          <w:p>
            <w:pPr>
              <w:pStyle w:val="null3"/>
              <w:ind w:firstLine="400"/>
              <w:jc w:val="both"/>
            </w:pPr>
            <w:r>
              <w:rPr>
                <w:rFonts w:ascii="仿宋_GB2312" w:hAnsi="仿宋_GB2312" w:cs="仿宋_GB2312" w:eastAsia="仿宋_GB2312"/>
                <w:sz w:val="20"/>
              </w:rPr>
              <w:t>2、性能需满足业务需求、APP封装技术要满足安全性、运行环境的正确性和完整性要满足要求、数据调取要满足正确性和准确性，响应时间低于3秒；</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实现统一管理，管理员统一管理所有设备以及所有设备应用的安全权限控制，并管理平台进行统一展示所有设备状态、所有审计信息。</w:t>
            </w:r>
          </w:p>
          <w:p>
            <w:pPr>
              <w:pStyle w:val="null3"/>
              <w:ind w:firstLine="400"/>
              <w:jc w:val="both"/>
            </w:pPr>
            <w:r>
              <w:rPr>
                <w:rFonts w:ascii="仿宋_GB2312" w:hAnsi="仿宋_GB2312" w:cs="仿宋_GB2312" w:eastAsia="仿宋_GB2312"/>
                <w:sz w:val="20"/>
              </w:rPr>
              <w:t>4、管理员可以通过管理后台，统一对移动设备进行集中病毒查杀，病毒库升级；移动终端环境安全监测；应用行为监测等操作，保证移动办公应用运行环境安全，防止数据泄露。</w:t>
            </w:r>
          </w:p>
          <w:p>
            <w:pPr>
              <w:pStyle w:val="null3"/>
              <w:jc w:val="both"/>
              <w:outlineLvl w:val="0"/>
            </w:pPr>
            <w:r>
              <w:rPr>
                <w:rFonts w:ascii="仿宋_GB2312" w:hAnsi="仿宋_GB2312" w:cs="仿宋_GB2312" w:eastAsia="仿宋_GB2312"/>
                <w:sz w:val="20"/>
                <w:b/>
              </w:rPr>
              <w:t>四、项目期限</w:t>
            </w:r>
          </w:p>
          <w:p>
            <w:pPr>
              <w:pStyle w:val="null3"/>
              <w:ind w:firstLine="400"/>
              <w:jc w:val="both"/>
            </w:pPr>
            <w:r>
              <w:rPr>
                <w:rFonts w:ascii="仿宋_GB2312" w:hAnsi="仿宋_GB2312" w:cs="仿宋_GB2312" w:eastAsia="仿宋_GB2312"/>
                <w:sz w:val="20"/>
              </w:rPr>
              <w:t>项目交付时间：自签订合同之日起三个月。</w:t>
            </w:r>
          </w:p>
          <w:p>
            <w:pPr>
              <w:pStyle w:val="null3"/>
              <w:ind w:firstLine="400"/>
              <w:jc w:val="both"/>
            </w:pPr>
            <w:r>
              <w:rPr>
                <w:rFonts w:ascii="仿宋_GB2312" w:hAnsi="仿宋_GB2312" w:cs="仿宋_GB2312" w:eastAsia="仿宋_GB2312"/>
                <w:sz w:val="20"/>
              </w:rPr>
              <w:t>项目交付地点：陕西省财政厅。</w:t>
            </w:r>
          </w:p>
          <w:p>
            <w:pPr>
              <w:pStyle w:val="null3"/>
              <w:jc w:val="both"/>
              <w:outlineLvl w:val="0"/>
            </w:pPr>
            <w:r>
              <w:rPr>
                <w:rFonts w:ascii="仿宋_GB2312" w:hAnsi="仿宋_GB2312" w:cs="仿宋_GB2312" w:eastAsia="仿宋_GB2312"/>
                <w:sz w:val="20"/>
                <w:b/>
              </w:rPr>
              <w:t>五、项目实施及培训服务要求</w:t>
            </w:r>
          </w:p>
          <w:p>
            <w:pPr>
              <w:pStyle w:val="null3"/>
              <w:numPr>
                <w:ilvl w:val="0"/>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1.11实施要求</w:t>
            </w:r>
          </w:p>
          <w:p>
            <w:pPr>
              <w:pStyle w:val="null3"/>
              <w:ind w:firstLine="400"/>
              <w:jc w:val="both"/>
            </w:pPr>
            <w:r>
              <w:rPr>
                <w:rFonts w:ascii="仿宋_GB2312" w:hAnsi="仿宋_GB2312" w:cs="仿宋_GB2312" w:eastAsia="仿宋_GB2312"/>
                <w:sz w:val="20"/>
              </w:rPr>
              <w:t>1.须针对本项目组建项目实施团队，并要求在项目实施期间到现场进行项目实施。</w:t>
            </w:r>
          </w:p>
          <w:p>
            <w:pPr>
              <w:pStyle w:val="null3"/>
              <w:ind w:firstLine="400"/>
              <w:jc w:val="both"/>
            </w:pPr>
            <w:r>
              <w:rPr>
                <w:rFonts w:ascii="仿宋_GB2312" w:hAnsi="仿宋_GB2312" w:cs="仿宋_GB2312" w:eastAsia="仿宋_GB2312"/>
                <w:sz w:val="20"/>
              </w:rPr>
              <w:t>2.提供专业的培训团队，确保整个项目培训工作的顺利进行。</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.系统需在管理规范、系统功能、</w:t>
            </w:r>
            <w:r>
              <w:rPr>
                <w:rFonts w:ascii="仿宋_GB2312" w:hAnsi="仿宋_GB2312" w:cs="仿宋_GB2312" w:eastAsia="仿宋_GB2312"/>
                <w:sz w:val="20"/>
              </w:rPr>
              <w:t>安全防护</w:t>
            </w:r>
            <w:r>
              <w:rPr>
                <w:rFonts w:ascii="仿宋_GB2312" w:hAnsi="仿宋_GB2312" w:cs="仿宋_GB2312" w:eastAsia="仿宋_GB2312"/>
                <w:sz w:val="20"/>
              </w:rPr>
              <w:t>等方面完全符合财政部的要求。</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.对于无法按进度要求交付、未满足财政部规范要求视为违约，具体违约责任以合同约定为准。</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陕西省财政厅行政办公系统沙箱升级后要与财政行政办公系统和</w:t>
            </w:r>
            <w:r>
              <w:rPr>
                <w:rFonts w:ascii="仿宋_GB2312" w:hAnsi="仿宋_GB2312" w:cs="仿宋_GB2312" w:eastAsia="仿宋_GB2312"/>
                <w:sz w:val="20"/>
              </w:rPr>
              <w:t>CA系统兼容。</w:t>
            </w:r>
          </w:p>
          <w:p>
            <w:pPr>
              <w:pStyle w:val="null3"/>
              <w:numPr>
                <w:ilvl w:val="0"/>
                <w:numId w:val="4"/>
              </w:numP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1.12培训服务要求</w:t>
            </w:r>
          </w:p>
          <w:p>
            <w:pPr>
              <w:pStyle w:val="null3"/>
              <w:ind w:firstLine="400"/>
              <w:jc w:val="both"/>
            </w:pPr>
            <w:r>
              <w:rPr>
                <w:rFonts w:ascii="仿宋_GB2312" w:hAnsi="仿宋_GB2312" w:cs="仿宋_GB2312" w:eastAsia="仿宋_GB2312"/>
                <w:sz w:val="20"/>
              </w:rPr>
              <w:t>1.培训地点：培训地点为陕西省财政厅。</w:t>
            </w:r>
          </w:p>
          <w:p>
            <w:pPr>
              <w:pStyle w:val="null3"/>
              <w:ind w:firstLine="400"/>
              <w:jc w:val="both"/>
            </w:pPr>
            <w:r>
              <w:rPr>
                <w:rFonts w:ascii="仿宋_GB2312" w:hAnsi="仿宋_GB2312" w:cs="仿宋_GB2312" w:eastAsia="仿宋_GB2312"/>
                <w:sz w:val="20"/>
              </w:rPr>
              <w:t>2.培训时间：陕西省财政厅指定时间。</w:t>
            </w:r>
          </w:p>
          <w:p>
            <w:pPr>
              <w:pStyle w:val="null3"/>
              <w:ind w:firstLine="400"/>
              <w:jc w:val="both"/>
            </w:pPr>
            <w:r>
              <w:rPr>
                <w:rFonts w:ascii="仿宋_GB2312" w:hAnsi="仿宋_GB2312" w:cs="仿宋_GB2312" w:eastAsia="仿宋_GB2312"/>
                <w:sz w:val="20"/>
              </w:rPr>
              <w:t>根据本次业务的特点和培训要求，需为本系统操作的相关人员提供免费（包含培训讲师、培训教材、培训课件）、人员不限现场培训，确保财政用户切实掌握本本项目所建设系统相关功能的使用，从而充分发挥系统的作用、真正提高陕西省财政系统相关业务人员的工作效率和管理水平，具体培训时间和地点将与采购方协商确定。</w:t>
            </w:r>
          </w:p>
          <w:p>
            <w:pPr>
              <w:pStyle w:val="null3"/>
              <w:ind w:firstLine="400"/>
              <w:jc w:val="both"/>
            </w:pPr>
            <w:r>
              <w:rPr>
                <w:rFonts w:ascii="仿宋_GB2312" w:hAnsi="仿宋_GB2312" w:cs="仿宋_GB2312" w:eastAsia="仿宋_GB2312"/>
                <w:sz w:val="20"/>
              </w:rPr>
              <w:t>3.培训方式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培训和辅导方式主要为集中培训和在线培训，具体培训方式由采购方自行选择。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1）集中培训</w:t>
            </w:r>
          </w:p>
          <w:p>
            <w:pPr>
              <w:pStyle w:val="null3"/>
              <w:ind w:firstLine="400"/>
              <w:jc w:val="both"/>
            </w:pPr>
            <w:r>
              <w:rPr>
                <w:rFonts w:ascii="仿宋_GB2312" w:hAnsi="仿宋_GB2312" w:cs="仿宋_GB2312" w:eastAsia="仿宋_GB2312"/>
                <w:sz w:val="20"/>
              </w:rPr>
              <w:t>指以培训班的形式定期举办的针对多个用户的集中培训，上机实操考核等。这一方式的教学特点是，主要侧重于课堂讲解，老师学员部分互动式。批量集中培训需要制定培训计划，经项目发起人批准后实施。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2）线上培训</w:t>
            </w:r>
          </w:p>
          <w:p>
            <w:pPr>
              <w:pStyle w:val="null3"/>
              <w:ind w:firstLine="400"/>
              <w:jc w:val="both"/>
            </w:pPr>
            <w:r>
              <w:rPr>
                <w:rFonts w:ascii="仿宋_GB2312" w:hAnsi="仿宋_GB2312" w:cs="仿宋_GB2312" w:eastAsia="仿宋_GB2312"/>
                <w:sz w:val="20"/>
              </w:rPr>
              <w:t>指经采购方批准，本项目系统的培训可以通过线上培训完成。</w:t>
            </w:r>
          </w:p>
          <w:p>
            <w:pPr>
              <w:pStyle w:val="null3"/>
              <w:jc w:val="both"/>
              <w:outlineLvl w:val="0"/>
            </w:pPr>
            <w:r>
              <w:rPr>
                <w:rFonts w:ascii="仿宋_GB2312" w:hAnsi="仿宋_GB2312" w:cs="仿宋_GB2312" w:eastAsia="仿宋_GB2312"/>
                <w:sz w:val="20"/>
                <w:b/>
              </w:rPr>
              <w:t>六、验收要求</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本项目</w:t>
            </w:r>
            <w:r>
              <w:rPr>
                <w:rFonts w:ascii="仿宋_GB2312" w:hAnsi="仿宋_GB2312" w:cs="仿宋_GB2312" w:eastAsia="仿宋_GB2312"/>
                <w:sz w:val="20"/>
              </w:rPr>
              <w:t>验收分为项目初步验收、项目文档专项验收和项目最终验收</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1、项目</w:t>
            </w:r>
            <w:r>
              <w:rPr>
                <w:rFonts w:ascii="仿宋_GB2312" w:hAnsi="仿宋_GB2312" w:cs="仿宋_GB2312" w:eastAsia="仿宋_GB2312"/>
                <w:sz w:val="20"/>
              </w:rPr>
              <w:t>初步</w:t>
            </w:r>
            <w:r>
              <w:rPr>
                <w:rFonts w:ascii="仿宋_GB2312" w:hAnsi="仿宋_GB2312" w:cs="仿宋_GB2312" w:eastAsia="仿宋_GB2312"/>
                <w:sz w:val="20"/>
              </w:rPr>
              <w:t>验收：</w:t>
            </w:r>
            <w:r>
              <w:rPr>
                <w:rFonts w:ascii="仿宋_GB2312" w:hAnsi="仿宋_GB2312" w:cs="仿宋_GB2312" w:eastAsia="仿宋_GB2312"/>
                <w:sz w:val="20"/>
              </w:rPr>
              <w:t>承建方</w:t>
            </w:r>
            <w:r>
              <w:rPr>
                <w:rFonts w:ascii="仿宋_GB2312" w:hAnsi="仿宋_GB2312" w:cs="仿宋_GB2312" w:eastAsia="仿宋_GB2312"/>
                <w:sz w:val="20"/>
              </w:rPr>
              <w:t>先进行自检，自检合格并达到</w:t>
            </w:r>
            <w:r>
              <w:rPr>
                <w:rFonts w:ascii="仿宋_GB2312" w:hAnsi="仿宋_GB2312" w:cs="仿宋_GB2312" w:eastAsia="仿宋_GB2312"/>
                <w:sz w:val="20"/>
              </w:rPr>
              <w:t>初步</w:t>
            </w:r>
            <w:r>
              <w:rPr>
                <w:rFonts w:ascii="仿宋_GB2312" w:hAnsi="仿宋_GB2312" w:cs="仿宋_GB2312" w:eastAsia="仿宋_GB2312"/>
                <w:sz w:val="20"/>
              </w:rPr>
              <w:t>验收要求后，向监理提交验收申请和验收方案，监理审核同意后报</w:t>
            </w:r>
            <w:r>
              <w:rPr>
                <w:rFonts w:ascii="仿宋_GB2312" w:hAnsi="仿宋_GB2312" w:cs="仿宋_GB2312" w:eastAsia="仿宋_GB2312"/>
                <w:sz w:val="20"/>
              </w:rPr>
              <w:t>采购方</w:t>
            </w:r>
            <w:r>
              <w:rPr>
                <w:rFonts w:ascii="仿宋_GB2312" w:hAnsi="仿宋_GB2312" w:cs="仿宋_GB2312" w:eastAsia="仿宋_GB2312"/>
                <w:sz w:val="20"/>
              </w:rPr>
              <w:t>批准。</w:t>
            </w:r>
            <w:r>
              <w:rPr>
                <w:rFonts w:ascii="仿宋_GB2312" w:hAnsi="仿宋_GB2312" w:cs="仿宋_GB2312" w:eastAsia="仿宋_GB2312"/>
                <w:sz w:val="20"/>
              </w:rPr>
              <w:t>采购方</w:t>
            </w:r>
            <w:r>
              <w:rPr>
                <w:rFonts w:ascii="仿宋_GB2312" w:hAnsi="仿宋_GB2312" w:cs="仿宋_GB2312" w:eastAsia="仿宋_GB2312"/>
                <w:sz w:val="20"/>
              </w:rPr>
              <w:t>可根据合同及技术要求对验收方案进行修改和补充，经各方确认后形成验收文件作为验收依据，由</w:t>
            </w:r>
            <w:r>
              <w:rPr>
                <w:rFonts w:ascii="仿宋_GB2312" w:hAnsi="仿宋_GB2312" w:cs="仿宋_GB2312" w:eastAsia="仿宋_GB2312"/>
                <w:sz w:val="20"/>
              </w:rPr>
              <w:t>采购方</w:t>
            </w:r>
            <w:r>
              <w:rPr>
                <w:rFonts w:ascii="仿宋_GB2312" w:hAnsi="仿宋_GB2312" w:cs="仿宋_GB2312" w:eastAsia="仿宋_GB2312"/>
                <w:sz w:val="20"/>
              </w:rPr>
              <w:t>组织项目上线验收</w:t>
            </w:r>
            <w:r>
              <w:rPr>
                <w:rFonts w:ascii="仿宋_GB2312" w:hAnsi="仿宋_GB2312" w:cs="仿宋_GB2312" w:eastAsia="仿宋_GB2312"/>
                <w:sz w:val="20"/>
              </w:rPr>
              <w:t>，承建方</w:t>
            </w:r>
            <w:r>
              <w:rPr>
                <w:rFonts w:ascii="仿宋_GB2312" w:hAnsi="仿宋_GB2312" w:cs="仿宋_GB2312" w:eastAsia="仿宋_GB2312"/>
                <w:sz w:val="20"/>
              </w:rPr>
              <w:t>及相关单位</w:t>
            </w:r>
            <w:r>
              <w:rPr>
                <w:rFonts w:ascii="仿宋_GB2312" w:hAnsi="仿宋_GB2312" w:cs="仿宋_GB2312" w:eastAsia="仿宋_GB2312"/>
                <w:sz w:val="20"/>
              </w:rPr>
              <w:t>参加验收。上线验收合格后系统进入试运行阶段。试运行期限</w:t>
            </w:r>
            <w:r>
              <w:rPr>
                <w:rFonts w:ascii="仿宋_GB2312" w:hAnsi="仿宋_GB2312" w:cs="仿宋_GB2312" w:eastAsia="仿宋_GB2312"/>
                <w:sz w:val="20"/>
              </w:rPr>
              <w:t>由</w:t>
            </w:r>
            <w:r>
              <w:rPr>
                <w:rFonts w:ascii="仿宋_GB2312" w:hAnsi="仿宋_GB2312" w:cs="仿宋_GB2312" w:eastAsia="仿宋_GB2312"/>
                <w:sz w:val="20"/>
              </w:rPr>
              <w:t>甲乙双方共同协商。</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项目文档专项验收</w:t>
            </w:r>
            <w:r>
              <w:rPr>
                <w:rFonts w:ascii="仿宋_GB2312" w:hAnsi="仿宋_GB2312" w:cs="仿宋_GB2312" w:eastAsia="仿宋_GB2312"/>
                <w:sz w:val="20"/>
              </w:rPr>
              <w:t>：</w:t>
            </w:r>
            <w:r>
              <w:rPr>
                <w:rFonts w:ascii="仿宋_GB2312" w:hAnsi="仿宋_GB2312" w:cs="仿宋_GB2312" w:eastAsia="仿宋_GB2312"/>
                <w:sz w:val="20"/>
              </w:rPr>
              <w:t>项目试运行结束，承建方把试运行期间的所有问题都解决完成，</w:t>
            </w:r>
            <w:r>
              <w:rPr>
                <w:rFonts w:ascii="仿宋_GB2312" w:hAnsi="仿宋_GB2312" w:cs="仿宋_GB2312" w:eastAsia="仿宋_GB2312"/>
                <w:sz w:val="20"/>
              </w:rPr>
              <w:t>承建方按《国家电子政务工程建设项目档案管理暂行办法》、《建设工程文件归档整理规范》的要求对所有项目文档进行整理、编目、装订，自检合格后，向采购方提交文档专项</w:t>
            </w:r>
            <w:r>
              <w:rPr>
                <w:rFonts w:ascii="仿宋_GB2312" w:hAnsi="仿宋_GB2312" w:cs="仿宋_GB2312" w:eastAsia="仿宋_GB2312"/>
                <w:sz w:val="20"/>
              </w:rPr>
              <w:t>审核</w:t>
            </w:r>
            <w:r>
              <w:rPr>
                <w:rFonts w:ascii="仿宋_GB2312" w:hAnsi="仿宋_GB2312" w:cs="仿宋_GB2312" w:eastAsia="仿宋_GB2312"/>
                <w:sz w:val="20"/>
              </w:rPr>
              <w:t>申请。</w:t>
            </w:r>
          </w:p>
          <w:p>
            <w:pPr>
              <w:pStyle w:val="null3"/>
              <w:ind w:firstLine="400"/>
              <w:jc w:val="both"/>
            </w:pPr>
            <w:r>
              <w:rPr>
                <w:rFonts w:ascii="仿宋_GB2312" w:hAnsi="仿宋_GB2312" w:cs="仿宋_GB2312" w:eastAsia="仿宋_GB2312"/>
                <w:sz w:val="20"/>
              </w:rPr>
              <w:t>本项目的文档包括但不限于下列资料：</w:t>
            </w:r>
            <w:r>
              <w:rPr>
                <w:rFonts w:ascii="仿宋_GB2312" w:hAnsi="仿宋_GB2312" w:cs="仿宋_GB2312" w:eastAsia="仿宋_GB2312"/>
                <w:sz w:val="20"/>
              </w:rPr>
              <w:t>《</w:t>
            </w:r>
            <w:r>
              <w:rPr>
                <w:rFonts w:ascii="仿宋_GB2312" w:hAnsi="仿宋_GB2312" w:cs="仿宋_GB2312" w:eastAsia="仿宋_GB2312"/>
                <w:sz w:val="20"/>
              </w:rPr>
              <w:t>安全升级方案</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系统管理员手册</w:t>
            </w:r>
            <w:r>
              <w:rPr>
                <w:rFonts w:ascii="仿宋_GB2312" w:hAnsi="仿宋_GB2312" w:cs="仿宋_GB2312" w:eastAsia="仿宋_GB2312"/>
                <w:sz w:val="20"/>
              </w:rPr>
              <w:t>》</w:t>
            </w:r>
            <w:r>
              <w:rPr>
                <w:rFonts w:ascii="仿宋_GB2312" w:hAnsi="仿宋_GB2312" w:cs="仿宋_GB2312" w:eastAsia="仿宋_GB2312"/>
                <w:sz w:val="20"/>
              </w:rPr>
              <w:t>、《用户</w:t>
            </w:r>
            <w:r>
              <w:rPr>
                <w:rFonts w:ascii="仿宋_GB2312" w:hAnsi="仿宋_GB2312" w:cs="仿宋_GB2312" w:eastAsia="仿宋_GB2312"/>
                <w:sz w:val="20"/>
              </w:rPr>
              <w:t>操作</w:t>
            </w:r>
            <w:r>
              <w:rPr>
                <w:rFonts w:ascii="仿宋_GB2312" w:hAnsi="仿宋_GB2312" w:cs="仿宋_GB2312" w:eastAsia="仿宋_GB2312"/>
                <w:sz w:val="20"/>
              </w:rPr>
              <w:t>手册》及各类标准规范文档等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、项目</w:t>
            </w:r>
            <w:r>
              <w:rPr>
                <w:rFonts w:ascii="仿宋_GB2312" w:hAnsi="仿宋_GB2312" w:cs="仿宋_GB2312" w:eastAsia="仿宋_GB2312"/>
                <w:sz w:val="20"/>
              </w:rPr>
              <w:t>最终</w:t>
            </w:r>
            <w:r>
              <w:rPr>
                <w:rFonts w:ascii="仿宋_GB2312" w:hAnsi="仿宋_GB2312" w:cs="仿宋_GB2312" w:eastAsia="仿宋_GB2312"/>
                <w:sz w:val="20"/>
              </w:rPr>
              <w:t>验收：系统通过</w:t>
            </w:r>
            <w:r>
              <w:rPr>
                <w:rFonts w:ascii="仿宋_GB2312" w:hAnsi="仿宋_GB2312" w:cs="仿宋_GB2312" w:eastAsia="仿宋_GB2312"/>
                <w:sz w:val="20"/>
              </w:rPr>
              <w:t>采购方委托的</w:t>
            </w:r>
            <w:r>
              <w:rPr>
                <w:rFonts w:ascii="仿宋_GB2312" w:hAnsi="仿宋_GB2312" w:cs="仿宋_GB2312" w:eastAsia="仿宋_GB2312"/>
                <w:sz w:val="20"/>
              </w:rPr>
              <w:t>第三方测评机构进行的功能、性能、安全性、稳定性、可靠性等测试，通过安全风险评估，并</w:t>
            </w:r>
            <w:r>
              <w:rPr>
                <w:rFonts w:ascii="仿宋_GB2312" w:hAnsi="仿宋_GB2312" w:cs="仿宋_GB2312" w:eastAsia="仿宋_GB2312"/>
                <w:sz w:val="20"/>
              </w:rPr>
              <w:t>出具</w:t>
            </w:r>
            <w:r>
              <w:rPr>
                <w:rFonts w:ascii="仿宋_GB2312" w:hAnsi="仿宋_GB2312" w:cs="仿宋_GB2312" w:eastAsia="仿宋_GB2312"/>
                <w:sz w:val="20"/>
              </w:rPr>
              <w:t>相应的测试报告，</w:t>
            </w:r>
            <w:r>
              <w:rPr>
                <w:rFonts w:ascii="仿宋_GB2312" w:hAnsi="仿宋_GB2312" w:cs="仿宋_GB2312" w:eastAsia="仿宋_GB2312"/>
                <w:sz w:val="20"/>
              </w:rPr>
              <w:t>文档通过后，系统达到完工验收条件。</w:t>
            </w:r>
            <w:r>
              <w:rPr>
                <w:rFonts w:ascii="仿宋_GB2312" w:hAnsi="仿宋_GB2312" w:cs="仿宋_GB2312" w:eastAsia="仿宋_GB2312"/>
                <w:sz w:val="20"/>
              </w:rPr>
              <w:t>承建方</w:t>
            </w:r>
            <w:r>
              <w:rPr>
                <w:rFonts w:ascii="仿宋_GB2312" w:hAnsi="仿宋_GB2312" w:cs="仿宋_GB2312" w:eastAsia="仿宋_GB2312"/>
                <w:sz w:val="20"/>
              </w:rPr>
              <w:t>向监理提交完工验收申请和验收方案，监理审核通过后报</w:t>
            </w:r>
            <w:r>
              <w:rPr>
                <w:rFonts w:ascii="仿宋_GB2312" w:hAnsi="仿宋_GB2312" w:cs="仿宋_GB2312" w:eastAsia="仿宋_GB2312"/>
                <w:sz w:val="20"/>
              </w:rPr>
              <w:t>采购方</w:t>
            </w:r>
            <w:r>
              <w:rPr>
                <w:rFonts w:ascii="仿宋_GB2312" w:hAnsi="仿宋_GB2312" w:cs="仿宋_GB2312" w:eastAsia="仿宋_GB2312"/>
                <w:sz w:val="20"/>
              </w:rPr>
              <w:t>批准。</w:t>
            </w:r>
            <w:r>
              <w:rPr>
                <w:rFonts w:ascii="仿宋_GB2312" w:hAnsi="仿宋_GB2312" w:cs="仿宋_GB2312" w:eastAsia="仿宋_GB2312"/>
                <w:sz w:val="20"/>
              </w:rPr>
              <w:t>采购方</w:t>
            </w:r>
            <w:r>
              <w:rPr>
                <w:rFonts w:ascii="仿宋_GB2312" w:hAnsi="仿宋_GB2312" w:cs="仿宋_GB2312" w:eastAsia="仿宋_GB2312"/>
                <w:sz w:val="20"/>
              </w:rPr>
              <w:t>同意后，在此后</w:t>
            </w:r>
            <w:r>
              <w:rPr>
                <w:rFonts w:ascii="仿宋_GB2312" w:hAnsi="仿宋_GB2312" w:cs="仿宋_GB2312" w:eastAsia="仿宋_GB2312"/>
                <w:sz w:val="20"/>
              </w:rPr>
              <w:t>10个工作日内由</w:t>
            </w:r>
            <w:r>
              <w:rPr>
                <w:rFonts w:ascii="仿宋_GB2312" w:hAnsi="仿宋_GB2312" w:cs="仿宋_GB2312" w:eastAsia="仿宋_GB2312"/>
                <w:sz w:val="20"/>
              </w:rPr>
              <w:t>采购方</w:t>
            </w:r>
            <w:r>
              <w:rPr>
                <w:rFonts w:ascii="仿宋_GB2312" w:hAnsi="仿宋_GB2312" w:cs="仿宋_GB2312" w:eastAsia="仿宋_GB2312"/>
                <w:sz w:val="20"/>
              </w:rPr>
              <w:t>组织，</w:t>
            </w:r>
            <w:r>
              <w:rPr>
                <w:rFonts w:ascii="仿宋_GB2312" w:hAnsi="仿宋_GB2312" w:cs="仿宋_GB2312" w:eastAsia="仿宋_GB2312"/>
                <w:sz w:val="20"/>
              </w:rPr>
              <w:t>承建方</w:t>
            </w:r>
            <w:r>
              <w:rPr>
                <w:rFonts w:ascii="仿宋_GB2312" w:hAnsi="仿宋_GB2312" w:cs="仿宋_GB2312" w:eastAsia="仿宋_GB2312"/>
                <w:sz w:val="20"/>
              </w:rPr>
              <w:t>及相关单位</w:t>
            </w:r>
            <w:r>
              <w:rPr>
                <w:rFonts w:ascii="仿宋_GB2312" w:hAnsi="仿宋_GB2312" w:cs="仿宋_GB2312" w:eastAsia="仿宋_GB2312"/>
                <w:sz w:val="20"/>
              </w:rPr>
              <w:t>参加验收。验收通过之日起合同标的物所有权由</w:t>
            </w:r>
            <w:r>
              <w:rPr>
                <w:rFonts w:ascii="仿宋_GB2312" w:hAnsi="仿宋_GB2312" w:cs="仿宋_GB2312" w:eastAsia="仿宋_GB2312"/>
                <w:sz w:val="20"/>
              </w:rPr>
              <w:t>承建方</w:t>
            </w:r>
            <w:r>
              <w:rPr>
                <w:rFonts w:ascii="仿宋_GB2312" w:hAnsi="仿宋_GB2312" w:cs="仿宋_GB2312" w:eastAsia="仿宋_GB2312"/>
                <w:sz w:val="20"/>
              </w:rPr>
              <w:t>移交至</w:t>
            </w:r>
            <w:r>
              <w:rPr>
                <w:rFonts w:ascii="仿宋_GB2312" w:hAnsi="仿宋_GB2312" w:cs="仿宋_GB2312" w:eastAsia="仿宋_GB2312"/>
                <w:sz w:val="20"/>
              </w:rPr>
              <w:t>采购方</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（二）项目完工验收时需提交的主要技术成果包括但不限于以下：</w:t>
            </w:r>
          </w:p>
          <w:p>
            <w:pPr>
              <w:pStyle w:val="null3"/>
              <w:ind w:firstLine="400"/>
              <w:jc w:val="both"/>
            </w:pPr>
            <w:r>
              <w:rPr>
                <w:rFonts w:ascii="仿宋_GB2312" w:hAnsi="仿宋_GB2312" w:cs="仿宋_GB2312" w:eastAsia="仿宋_GB2312"/>
                <w:sz w:val="20"/>
              </w:rPr>
              <w:t>1、系统的建设成果（应包括系统建设所有的过程资料、培训记录操作使用文档以及合同中约定的其他项目）。</w:t>
            </w:r>
          </w:p>
          <w:p>
            <w:pPr>
              <w:pStyle w:val="null3"/>
              <w:ind w:firstLine="400"/>
              <w:jc w:val="both"/>
            </w:pPr>
            <w:r>
              <w:rPr>
                <w:rFonts w:ascii="仿宋_GB2312" w:hAnsi="仿宋_GB2312" w:cs="仿宋_GB2312" w:eastAsia="仿宋_GB2312"/>
                <w:sz w:val="20"/>
              </w:rPr>
              <w:t>3、主要技术文档包括：《</w:t>
            </w:r>
            <w:r>
              <w:rPr>
                <w:rFonts w:ascii="仿宋_GB2312" w:hAnsi="仿宋_GB2312" w:cs="仿宋_GB2312" w:eastAsia="仿宋_GB2312"/>
                <w:sz w:val="20"/>
              </w:rPr>
              <w:t>安全升级方案</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系统管理员手册</w:t>
            </w:r>
            <w:r>
              <w:rPr>
                <w:rFonts w:ascii="仿宋_GB2312" w:hAnsi="仿宋_GB2312" w:cs="仿宋_GB2312" w:eastAsia="仿宋_GB2312"/>
                <w:sz w:val="20"/>
              </w:rPr>
              <w:t>》</w:t>
            </w:r>
            <w:r>
              <w:rPr>
                <w:rFonts w:ascii="仿宋_GB2312" w:hAnsi="仿宋_GB2312" w:cs="仿宋_GB2312" w:eastAsia="仿宋_GB2312"/>
                <w:sz w:val="20"/>
              </w:rPr>
              <w:t>、《用户</w:t>
            </w:r>
            <w:r>
              <w:rPr>
                <w:rFonts w:ascii="仿宋_GB2312" w:hAnsi="仿宋_GB2312" w:cs="仿宋_GB2312" w:eastAsia="仿宋_GB2312"/>
                <w:sz w:val="20"/>
              </w:rPr>
              <w:t>操作</w:t>
            </w:r>
            <w:r>
              <w:rPr>
                <w:rFonts w:ascii="仿宋_GB2312" w:hAnsi="仿宋_GB2312" w:cs="仿宋_GB2312" w:eastAsia="仿宋_GB2312"/>
                <w:sz w:val="20"/>
              </w:rPr>
              <w:t>手册》及各类标准规范文档等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（三）验收依据：</w:t>
            </w:r>
          </w:p>
          <w:p>
            <w:pPr>
              <w:pStyle w:val="null3"/>
              <w:ind w:firstLine="400"/>
              <w:jc w:val="both"/>
            </w:pPr>
            <w:r>
              <w:rPr>
                <w:rFonts w:ascii="仿宋_GB2312" w:hAnsi="仿宋_GB2312" w:cs="仿宋_GB2312" w:eastAsia="仿宋_GB2312"/>
                <w:sz w:val="20"/>
              </w:rPr>
              <w:t>1、本项目的《</w:t>
            </w:r>
            <w:r>
              <w:rPr>
                <w:rFonts w:ascii="仿宋_GB2312" w:hAnsi="仿宋_GB2312" w:cs="仿宋_GB2312" w:eastAsia="仿宋_GB2312"/>
                <w:sz w:val="20"/>
              </w:rPr>
              <w:t>采购</w:t>
            </w:r>
            <w:r>
              <w:rPr>
                <w:rFonts w:ascii="仿宋_GB2312" w:hAnsi="仿宋_GB2312" w:cs="仿宋_GB2312" w:eastAsia="仿宋_GB2312"/>
                <w:sz w:val="20"/>
              </w:rPr>
              <w:t>文件》；</w:t>
            </w:r>
          </w:p>
          <w:p>
            <w:pPr>
              <w:pStyle w:val="null3"/>
              <w:ind w:firstLine="400"/>
              <w:jc w:val="both"/>
            </w:pPr>
            <w:r>
              <w:rPr>
                <w:rFonts w:ascii="仿宋_GB2312" w:hAnsi="仿宋_GB2312" w:cs="仿宋_GB2312" w:eastAsia="仿宋_GB2312"/>
                <w:sz w:val="20"/>
              </w:rPr>
              <w:t>2、中标供应商的《响应文件》；</w:t>
            </w:r>
          </w:p>
          <w:p>
            <w:pPr>
              <w:pStyle w:val="null3"/>
              <w:ind w:firstLine="400"/>
              <w:jc w:val="both"/>
            </w:pPr>
            <w:r>
              <w:rPr>
                <w:rFonts w:ascii="仿宋_GB2312" w:hAnsi="仿宋_GB2312" w:cs="仿宋_GB2312" w:eastAsia="仿宋_GB2312"/>
                <w:sz w:val="20"/>
              </w:rPr>
              <w:t>3、双方签署的《项目合同书》；</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其他资料。</w:t>
            </w:r>
          </w:p>
          <w:p>
            <w:pPr>
              <w:pStyle w:val="null3"/>
              <w:ind w:firstLine="400"/>
              <w:jc w:val="both"/>
            </w:pPr>
            <w:r>
              <w:rPr>
                <w:rFonts w:ascii="仿宋_GB2312" w:hAnsi="仿宋_GB2312" w:cs="仿宋_GB2312" w:eastAsia="仿宋_GB2312"/>
                <w:sz w:val="20"/>
              </w:rPr>
              <w:t>（四）验收组织</w:t>
            </w:r>
          </w:p>
          <w:p>
            <w:pPr>
              <w:pStyle w:val="null3"/>
              <w:ind w:firstLine="400"/>
              <w:jc w:val="both"/>
            </w:pPr>
            <w:r>
              <w:rPr>
                <w:rFonts w:ascii="仿宋_GB2312" w:hAnsi="仿宋_GB2312" w:cs="仿宋_GB2312" w:eastAsia="仿宋_GB2312"/>
                <w:sz w:val="20"/>
              </w:rPr>
              <w:t>验收组织：</w:t>
            </w:r>
            <w:r>
              <w:rPr>
                <w:rFonts w:ascii="仿宋_GB2312" w:hAnsi="仿宋_GB2312" w:cs="仿宋_GB2312" w:eastAsia="仿宋_GB2312"/>
                <w:sz w:val="20"/>
              </w:rPr>
              <w:t>采购方</w:t>
            </w:r>
            <w:r>
              <w:rPr>
                <w:rFonts w:ascii="仿宋_GB2312" w:hAnsi="仿宋_GB2312" w:cs="仿宋_GB2312" w:eastAsia="仿宋_GB2312"/>
                <w:sz w:val="20"/>
              </w:rPr>
              <w:t>组织，</w:t>
            </w:r>
            <w:r>
              <w:rPr>
                <w:rFonts w:ascii="仿宋_GB2312" w:hAnsi="仿宋_GB2312" w:cs="仿宋_GB2312" w:eastAsia="仿宋_GB2312"/>
                <w:sz w:val="20"/>
              </w:rPr>
              <w:t>承建方</w:t>
            </w:r>
            <w:r>
              <w:rPr>
                <w:rFonts w:ascii="仿宋_GB2312" w:hAnsi="仿宋_GB2312" w:cs="仿宋_GB2312" w:eastAsia="仿宋_GB2312"/>
                <w:sz w:val="20"/>
              </w:rPr>
              <w:t>及相关单位</w:t>
            </w:r>
            <w:r>
              <w:rPr>
                <w:rFonts w:ascii="仿宋_GB2312" w:hAnsi="仿宋_GB2312" w:cs="仿宋_GB2312" w:eastAsia="仿宋_GB2312"/>
                <w:sz w:val="20"/>
              </w:rPr>
              <w:t>参加。</w:t>
            </w:r>
          </w:p>
          <w:p>
            <w:pPr>
              <w:pStyle w:val="null3"/>
              <w:jc w:val="both"/>
              <w:outlineLvl w:val="0"/>
            </w:pPr>
            <w:r>
              <w:rPr>
                <w:rFonts w:ascii="仿宋_GB2312" w:hAnsi="仿宋_GB2312" w:cs="仿宋_GB2312" w:eastAsia="仿宋_GB2312"/>
                <w:sz w:val="20"/>
                <w:b/>
              </w:rPr>
              <w:t>七、系统运行和售后服务要求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软件免费</w:t>
            </w:r>
            <w:r>
              <w:rPr>
                <w:rFonts w:ascii="仿宋_GB2312" w:hAnsi="仿宋_GB2312" w:cs="仿宋_GB2312" w:eastAsia="仿宋_GB2312"/>
                <w:sz w:val="20"/>
              </w:rPr>
              <w:t>质保期为系统模块上线</w:t>
            </w:r>
            <w:r>
              <w:rPr>
                <w:rFonts w:ascii="仿宋_GB2312" w:hAnsi="仿宋_GB2312" w:cs="仿宋_GB2312" w:eastAsia="仿宋_GB2312"/>
                <w:sz w:val="20"/>
              </w:rPr>
              <w:t>验收通过之日起两</w:t>
            </w:r>
            <w:r>
              <w:rPr>
                <w:rFonts w:ascii="仿宋_GB2312" w:hAnsi="仿宋_GB2312" w:cs="仿宋_GB2312" w:eastAsia="仿宋_GB2312"/>
                <w:sz w:val="20"/>
              </w:rPr>
              <w:t>年</w:t>
            </w:r>
            <w:r>
              <w:rPr>
                <w:rFonts w:ascii="仿宋_GB2312" w:hAnsi="仿宋_GB2312" w:cs="仿宋_GB2312" w:eastAsia="仿宋_GB2312"/>
                <w:sz w:val="20"/>
              </w:rPr>
              <w:t>，硬件服务器免费质保期三年。</w:t>
            </w:r>
            <w:r>
              <w:rPr>
                <w:rFonts w:ascii="仿宋_GB2312" w:hAnsi="仿宋_GB2312" w:cs="仿宋_GB2312" w:eastAsia="仿宋_GB2312"/>
                <w:sz w:val="20"/>
              </w:rPr>
              <w:t>在</w:t>
            </w:r>
            <w:r>
              <w:rPr>
                <w:rFonts w:ascii="仿宋_GB2312" w:hAnsi="仿宋_GB2312" w:cs="仿宋_GB2312" w:eastAsia="仿宋_GB2312"/>
                <w:sz w:val="20"/>
              </w:rPr>
              <w:t>免费</w:t>
            </w:r>
            <w:r>
              <w:rPr>
                <w:rFonts w:ascii="仿宋_GB2312" w:hAnsi="仿宋_GB2312" w:cs="仿宋_GB2312" w:eastAsia="仿宋_GB2312"/>
                <w:sz w:val="20"/>
              </w:rPr>
              <w:t>质保期内，免费解决系统</w:t>
            </w:r>
            <w:r>
              <w:rPr>
                <w:rFonts w:ascii="仿宋_GB2312" w:hAnsi="仿宋_GB2312" w:cs="仿宋_GB2312" w:eastAsia="仿宋_GB2312"/>
                <w:sz w:val="20"/>
              </w:rPr>
              <w:t>bug类，及时对性能进行优化处理，提供对应的质保服务保障系统运行稳定；</w:t>
            </w:r>
          </w:p>
          <w:p>
            <w:pPr>
              <w:pStyle w:val="null3"/>
              <w:ind w:firstLine="400"/>
              <w:jc w:val="both"/>
            </w:pPr>
            <w:r>
              <w:rPr>
                <w:rFonts w:ascii="仿宋_GB2312" w:hAnsi="仿宋_GB2312" w:cs="仿宋_GB2312" w:eastAsia="仿宋_GB2312"/>
                <w:sz w:val="20"/>
              </w:rPr>
              <w:t>2.提供应急响应措施，对紧急事件进行应急响应，实现尽可能快地恢复正常的服务运营，最小化对业务运营的负面影响，确保达到尽量好的服务质量可用性水平。对日间突发故障，要求2小时内到财政厅现场。</w:t>
            </w:r>
          </w:p>
          <w:p>
            <w:pPr>
              <w:pStyle w:val="null3"/>
              <w:ind w:firstLine="400"/>
              <w:jc w:val="both"/>
            </w:pPr>
            <w:r>
              <w:rPr>
                <w:rFonts w:ascii="仿宋_GB2312" w:hAnsi="仿宋_GB2312" w:cs="仿宋_GB2312" w:eastAsia="仿宋_GB2312"/>
                <w:sz w:val="20"/>
              </w:rPr>
              <w:t>3.服务对象</w:t>
            </w:r>
          </w:p>
          <w:p>
            <w:pPr>
              <w:pStyle w:val="null3"/>
              <w:ind w:firstLine="400"/>
              <w:jc w:val="both"/>
            </w:pPr>
            <w:r>
              <w:rPr>
                <w:rFonts w:ascii="仿宋_GB2312" w:hAnsi="仿宋_GB2312" w:cs="仿宋_GB2312" w:eastAsia="仿宋_GB2312"/>
                <w:sz w:val="20"/>
              </w:rPr>
              <w:t>应为所有使用本系统的用户提供服务，服务省财政厅用户。</w:t>
            </w:r>
          </w:p>
          <w:p>
            <w:pPr>
              <w:pStyle w:val="null3"/>
              <w:ind w:firstLine="400"/>
              <w:jc w:val="both"/>
            </w:pPr>
            <w:r>
              <w:rPr>
                <w:rFonts w:ascii="仿宋_GB2312" w:hAnsi="仿宋_GB2312" w:cs="仿宋_GB2312" w:eastAsia="仿宋_GB2312"/>
                <w:sz w:val="20"/>
              </w:rPr>
              <w:t>4.服务方式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1）派现场服务。用户在系统应用中出现问题，技术人员无法通过非现场服务处理时，根据用户的要求，派技术人员到现场诊断故障、解决问题。</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2）远程支持服务。设置客服电话，用户可拨打客服电话获取远程技术支持服务，客服电话服务时间为国家法定工作时间。远程支持服务同时支持邮件、传真、信函等方式。</w:t>
            </w:r>
          </w:p>
          <w:p>
            <w:pPr>
              <w:pStyle w:val="null3"/>
              <w:jc w:val="both"/>
              <w:outlineLvl w:val="0"/>
            </w:pPr>
            <w:r>
              <w:rPr>
                <w:rFonts w:ascii="仿宋_GB2312" w:hAnsi="仿宋_GB2312" w:cs="仿宋_GB2312" w:eastAsia="仿宋_GB2312"/>
                <w:sz w:val="20"/>
                <w:b/>
              </w:rPr>
              <w:t>八、保密要求</w:t>
            </w:r>
          </w:p>
          <w:p>
            <w:pPr>
              <w:pStyle w:val="null3"/>
              <w:ind w:firstLine="400"/>
              <w:jc w:val="both"/>
            </w:pPr>
            <w:r>
              <w:rPr>
                <w:rFonts w:ascii="仿宋_GB2312" w:hAnsi="仿宋_GB2312" w:cs="仿宋_GB2312" w:eastAsia="仿宋_GB2312"/>
                <w:sz w:val="20"/>
              </w:rPr>
              <w:t>1.承建方应签订保密协议，对其因身份、职务、职业或技术关系而知悉的采购人商业秘密和党政机关保密信息应严格保守，保证不被披露或使用，包括意外或过失。</w:t>
            </w:r>
          </w:p>
          <w:p>
            <w:pPr>
              <w:pStyle w:val="null3"/>
              <w:ind w:firstLine="400"/>
              <w:jc w:val="both"/>
            </w:pPr>
            <w:r>
              <w:rPr>
                <w:rFonts w:ascii="仿宋_GB2312" w:hAnsi="仿宋_GB2312" w:cs="仿宋_GB2312" w:eastAsia="仿宋_GB2312"/>
                <w:sz w:val="20"/>
              </w:rPr>
              <w:t>2.承建方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承建方在从事政府项目时，不得擅自记录、复制、拍摄、摘抄、收藏在工作中涉及的保密信息，严禁将涉及政府项目的任何资料、数据透露或以其他方式提供给项目以外的其他方或承建方内部与该项目无关的任何人员。</w:t>
            </w:r>
          </w:p>
          <w:p>
            <w:pPr>
              <w:pStyle w:val="null3"/>
              <w:ind w:firstLine="400"/>
              <w:jc w:val="both"/>
            </w:pPr>
            <w:r>
              <w:rPr>
                <w:rFonts w:ascii="仿宋_GB2312" w:hAnsi="仿宋_GB2312" w:cs="仿宋_GB2312" w:eastAsia="仿宋_GB2312"/>
                <w:sz w:val="20"/>
              </w:rPr>
              <w:t>3.承建方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jc w:val="both"/>
            </w:pPr>
            <w:r>
              <w:rPr>
                <w:rFonts w:ascii="仿宋_GB2312" w:hAnsi="仿宋_GB2312" w:cs="仿宋_GB2312" w:eastAsia="仿宋_GB2312"/>
                <w:sz w:val="20"/>
              </w:rPr>
              <w:t>4.严禁泄露在工作中接触到的政府机关科技研究、发明、装备器材及其技术资料和政府工作信息。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自签订合同之日起三个月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陕西省财政厅机关</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签订合同后，乙方书面提出支付申请函及与支付金额等额的增值税普通发票，甲方确认后启动首期款支付流程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本项目经甲方验收通过后，乙方书面提出支付申请函及与支付金额等额的增值税普通发票，甲方确认后启动尾款支付流程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1、谈判文件、响应文件；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软件免费质保期为系统模块上线验收通过之日起两年，硬件服务器免费质保期三年。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1、请注意响应文件技术参数响应表及商务响应表要求逐条响应，因未逐条响应而造成的负偏离可能存在响应文件否决的风险。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网站（www.creditchina.gov.cn）和中国政府采购网（www.ccgp.gov.cn）上被列入失信被执行人、重大税收违法失信主体、政府采购严重违法失信行为记录名单的，不得参加谈判。</w:t>
            </w:r>
          </w:p>
        </w:tc>
        <w:tc>
          <w:tcPr>
            <w:tcW w:type="dxa" w:w="1661"/>
          </w:tcPr>
          <w:p>
            <w:pPr>
              <w:pStyle w:val="null3"/>
            </w:pPr>
            <w:r>
              <w:rPr>
                <w:rFonts w:ascii="仿宋_GB2312" w:hAnsi="仿宋_GB2312" w:cs="仿宋_GB2312" w:eastAsia="仿宋_GB2312"/>
              </w:rPr>
              <w:t>其他资格证明文件.docx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首次谈判报价</w:t>
            </w:r>
          </w:p>
        </w:tc>
        <w:tc>
          <w:tcPr>
            <w:tcW w:type="dxa" w:w="3322"/>
          </w:tcPr>
          <w:p>
            <w:pPr>
              <w:pStyle w:val="null3"/>
            </w:pPr>
            <w:r>
              <w:rPr>
                <w:rFonts w:ascii="仿宋_GB2312" w:hAnsi="仿宋_GB2312" w:cs="仿宋_GB2312" w:eastAsia="仿宋_GB2312"/>
              </w:rPr>
              <w:t>供应商首次谈判报价没有超出采购预算或最高限价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产品技术参数表 商务应答表 拟投入专业人员.docx 其他.docx 分项报价明细.docx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详见附件：分项报价明细.docx</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详见附件：拟上传合同.docx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bullet"/>
      <w:lvlText w:val=""/>
      <w:lvlJc w:val="left"/>
      <w:pPr>
        <w:ind w:left="0"/>
      </w:pPr>
      <w:rPr>
        <w:rFonts w:ascii="Wingdings" w:hAnsi="Wingdings" w:hint="default"/>
      </w:r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