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D33B7">
      <w:pPr>
        <w:jc w:val="center"/>
        <w:rPr>
          <w:rFonts w:ascii="仿宋" w:hAnsi="仿宋" w:eastAsia="仿宋" w:cs="仿宋"/>
          <w:sz w:val="24"/>
        </w:rPr>
      </w:pPr>
      <w:r>
        <w:rPr>
          <w:rFonts w:hint="eastAsia" w:ascii="黑体" w:hAnsi="黑体" w:eastAsia="黑体" w:cs="Calibri Light"/>
          <w:b w:val="0"/>
          <w:bCs w:val="0"/>
          <w:color w:val="1F4E79"/>
          <w:kern w:val="2"/>
          <w:sz w:val="28"/>
          <w:szCs w:val="32"/>
          <w:highlight w:val="none"/>
          <w:lang w:val="en-US" w:eastAsia="zh-CN" w:bidi="ar-SA"/>
        </w:rPr>
        <w:t>其他</w:t>
      </w:r>
      <w:r>
        <w:rPr>
          <w:rFonts w:hint="eastAsia" w:ascii="黑体" w:hAnsi="黑体" w:eastAsia="黑体" w:cs="黑体"/>
          <w:b w:val="0"/>
          <w:bCs w:val="0"/>
          <w:color w:val="1F4E79"/>
          <w:kern w:val="2"/>
          <w:sz w:val="28"/>
          <w:szCs w:val="32"/>
          <w:lang w:val="zh-CN" w:eastAsia="zh-CN" w:bidi="ar-SA"/>
        </w:rPr>
        <w:t>资格证明文件</w:t>
      </w:r>
    </w:p>
    <w:p w14:paraId="360CBC59">
      <w:pPr>
        <w:jc w:val="center"/>
        <w:rPr>
          <w:rFonts w:hint="eastAsia" w:ascii="黑体" w:hAnsi="黑体" w:eastAsia="黑体" w:cs="黑体"/>
          <w:b w:val="0"/>
          <w:bCs w:val="0"/>
          <w:color w:val="1F4E79"/>
          <w:kern w:val="2"/>
          <w:sz w:val="24"/>
          <w:szCs w:val="28"/>
          <w:lang w:val="zh-CN" w:eastAsia="zh-CN" w:bidi="ar-SA"/>
        </w:rPr>
      </w:pPr>
      <w:r>
        <w:rPr>
          <w:rFonts w:hint="eastAsia" w:ascii="黑体" w:hAnsi="黑体" w:eastAsia="黑体" w:cs="黑体"/>
          <w:b w:val="0"/>
          <w:bCs w:val="0"/>
          <w:color w:val="1F4E79"/>
          <w:kern w:val="2"/>
          <w:sz w:val="24"/>
          <w:szCs w:val="28"/>
          <w:lang w:val="en-US" w:eastAsia="zh-CN" w:bidi="ar-SA"/>
        </w:rPr>
        <w:t>一、</w:t>
      </w:r>
      <w:r>
        <w:rPr>
          <w:rFonts w:hint="eastAsia" w:ascii="黑体" w:hAnsi="黑体" w:eastAsia="黑体" w:cs="黑体"/>
          <w:b w:val="0"/>
          <w:bCs w:val="0"/>
          <w:color w:val="1F4E79"/>
          <w:kern w:val="2"/>
          <w:sz w:val="24"/>
          <w:szCs w:val="28"/>
          <w:lang w:val="zh-CN" w:eastAsia="zh-CN" w:bidi="ar-SA"/>
        </w:rPr>
        <w:t>供应商应具备《中华人民共和国政府采购法》第二十二条规定的条件</w:t>
      </w:r>
    </w:p>
    <w:p w14:paraId="29F12F01">
      <w:p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1、主体证明文件：（1）</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是企业（包括合伙企业）的，应提供其在市场监督管理部门注册的有效“营业执照 ”的复印件；（2）</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是事业单位的，应提供其有效的“事业单位法人证书”复印件；（3）</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是非企业专业服务机构的，应提供其有效的“执业许可证”复印件；（4）</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是民办非企业单位的，应提供其有效的登记证书复印件；（5）</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是个体工商户的，应提供其有效的“营业执照”复印件；（6）</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是自然人的，应提供其有效的自然人身份证明复印件。</w:t>
      </w:r>
    </w:p>
    <w:p w14:paraId="3A2FC650">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4A57D832">
      <w:pPr>
        <w:numPr>
          <w:ilvl w:val="0"/>
          <w:numId w:val="1"/>
        </w:num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提供可满足履行合同所需设备和专业技术能力的证明材料或承诺 </w:t>
      </w:r>
    </w:p>
    <w:p w14:paraId="65D79714">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3C7571A0">
      <w:pPr>
        <w:rPr>
          <w:rFonts w:hint="eastAsia" w:ascii="仿宋" w:hAnsi="仿宋" w:eastAsia="仿宋" w:cs="仿宋"/>
          <w:color w:val="000000"/>
          <w:kern w:val="0"/>
          <w:sz w:val="24"/>
        </w:rPr>
      </w:pPr>
    </w:p>
    <w:p w14:paraId="0B82D2DD">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4F13A34D">
      <w:pPr>
        <w:ind w:firstLine="480"/>
        <w:rPr>
          <w:rFonts w:hint="eastAsia" w:ascii="仿宋" w:hAnsi="仿宋" w:eastAsia="仿宋" w:cs="仿宋"/>
          <w:color w:val="000000"/>
          <w:kern w:val="0"/>
          <w:sz w:val="24"/>
        </w:rPr>
      </w:pPr>
    </w:p>
    <w:p w14:paraId="422ECE9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5C1F9C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具有良好的财务和会计制度；</w:t>
      </w:r>
    </w:p>
    <w:p w14:paraId="340C60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rPr>
        <w:t>具备履行</w:t>
      </w:r>
      <w:r>
        <w:rPr>
          <w:rFonts w:hint="eastAsia" w:ascii="仿宋" w:hAnsi="仿宋" w:eastAsia="仿宋" w:cs="仿宋"/>
          <w:color w:val="000000"/>
          <w:kern w:val="0"/>
          <w:sz w:val="24"/>
          <w:lang w:val="en-US" w:eastAsia="zh-CN"/>
        </w:rPr>
        <w:t>本次项目</w:t>
      </w:r>
      <w:r>
        <w:rPr>
          <w:rFonts w:hint="eastAsia" w:ascii="仿宋" w:hAnsi="仿宋" w:eastAsia="仿宋" w:cs="仿宋"/>
          <w:color w:val="000000"/>
          <w:kern w:val="0"/>
          <w:sz w:val="24"/>
        </w:rPr>
        <w:t>合同所必需的设备和专业技术能力。</w:t>
      </w:r>
    </w:p>
    <w:p w14:paraId="05E7E6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我方不属于为本项目提供整体设计、规范编制或者项目管理、监理、检测等服务的供应商。</w:t>
      </w:r>
    </w:p>
    <w:p w14:paraId="0FBAE4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我公司与</w:t>
      </w:r>
      <w:r>
        <w:rPr>
          <w:rFonts w:hint="eastAsia" w:ascii="仿宋" w:hAnsi="仿宋" w:eastAsia="仿宋" w:cs="仿宋"/>
          <w:color w:val="000000"/>
          <w:kern w:val="0"/>
          <w:sz w:val="24"/>
        </w:rPr>
        <w:t>各供应商之间不存在单位负责人为同一人或者存在控股、管理关系情形。</w:t>
      </w:r>
    </w:p>
    <w:p w14:paraId="5009FB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其他磋商文件要求的承诺项均符合磋商文件要求。</w:t>
      </w:r>
    </w:p>
    <w:p w14:paraId="6BF6A8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526C24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对上述承诺（声明）的真实性负责，若发现实际情况不符合上述声明的情况，完全接受按法律法规和磋商文件处理要求。</w:t>
      </w:r>
    </w:p>
    <w:p w14:paraId="292A8A2C">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14B75C7F">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F462AD">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738CC492">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 xml:space="preserve">截止时间前近六个月中至少一个月的纳税证明或完税证明，依法免税的单位应提供相关证明材料；时间以税款所属时期为准 </w:t>
      </w:r>
    </w:p>
    <w:p w14:paraId="3DD23A8D">
      <w:pPr>
        <w:numPr>
          <w:ilvl w:val="0"/>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4444006C">
      <w:pPr>
        <w:numPr>
          <w:ilvl w:val="0"/>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0F76F64E">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截止时间前近六个月中至少一个月的社会保障资金缴存单据或社保机构开具的社会保险参保缴费情况证明，依法不需要缴纳社会保障资金的单位应提供相关证明材料。</w:t>
      </w:r>
    </w:p>
    <w:p w14:paraId="46EC0BE9">
      <w:pPr>
        <w:numPr>
          <w:ilvl w:val="0"/>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31440F16">
      <w:pPr>
        <w:numPr>
          <w:ilvl w:val="0"/>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5CAC891A">
      <w:pPr>
        <w:tabs>
          <w:tab w:val="left" w:pos="993"/>
          <w:tab w:val="left" w:pos="1030"/>
          <w:tab w:val="left" w:pos="8364"/>
        </w:tabs>
        <w:snapToGrid w:val="0"/>
        <w:spacing w:after="120" w:afterLines="50"/>
        <w:ind w:right="-57" w:rightChars="-27"/>
        <w:rPr>
          <w:rFonts w:ascii="仿宋" w:hAnsi="仿宋" w:eastAsia="仿宋" w:cs="仿宋"/>
          <w:sz w:val="24"/>
          <w:highlight w:val="none"/>
        </w:rPr>
      </w:pPr>
      <w:r>
        <w:rPr>
          <w:rFonts w:ascii="仿宋_GB2312" w:hAnsi="仿宋_GB2312" w:eastAsia="仿宋_GB2312" w:cs="仿宋_GB2312"/>
          <w:color w:val="auto"/>
          <w:highlight w:val="none"/>
        </w:rPr>
        <w:t xml:space="preserve"> 5、提供有效的参加政府采购活动前3年内在经营活动中没有重大违法记录的书面声明。</w:t>
      </w:r>
    </w:p>
    <w:p w14:paraId="7BB54E65">
      <w:pPr>
        <w:adjustRightInd w:val="0"/>
        <w:spacing w:line="360" w:lineRule="atLeast"/>
        <w:jc w:val="left"/>
        <w:textAlignment w:val="baseline"/>
        <w:rPr>
          <w:rFonts w:ascii="仿宋" w:hAnsi="仿宋" w:eastAsia="仿宋" w:cs="仿宋"/>
          <w:b/>
          <w:sz w:val="28"/>
          <w:highlight w:val="none"/>
        </w:rPr>
      </w:pPr>
    </w:p>
    <w:p w14:paraId="02F9A9C1">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sz w:val="28"/>
          <w:highlight w:val="none"/>
        </w:rPr>
        <w:t xml:space="preserve"> </w:t>
      </w: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59D11A11">
      <w:pPr>
        <w:rPr>
          <w:rFonts w:hint="eastAsia" w:ascii="仿宋" w:hAnsi="仿宋" w:eastAsia="仿宋" w:cs="仿宋"/>
          <w:color w:val="000000"/>
          <w:kern w:val="0"/>
          <w:sz w:val="24"/>
        </w:rPr>
      </w:pPr>
    </w:p>
    <w:p w14:paraId="757789EC">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1F1C6C9C">
      <w:pPr>
        <w:ind w:firstLine="480"/>
        <w:rPr>
          <w:rFonts w:hint="eastAsia" w:ascii="仿宋" w:hAnsi="仿宋" w:eastAsia="仿宋" w:cs="仿宋"/>
          <w:color w:val="000000"/>
          <w:kern w:val="0"/>
          <w:sz w:val="24"/>
        </w:rPr>
      </w:pPr>
    </w:p>
    <w:p w14:paraId="466A004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284D3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在参加本项目</w:t>
      </w:r>
      <w:r>
        <w:rPr>
          <w:rFonts w:hint="eastAsia" w:ascii="仿宋" w:hAnsi="仿宋" w:eastAsia="仿宋" w:cs="仿宋"/>
          <w:color w:val="000000"/>
          <w:kern w:val="0"/>
          <w:sz w:val="24"/>
          <w:lang w:val="en-US" w:eastAsia="zh-CN"/>
        </w:rPr>
        <w:t>政府</w:t>
      </w:r>
      <w:r>
        <w:rPr>
          <w:rFonts w:hint="eastAsia" w:ascii="仿宋" w:hAnsi="仿宋" w:eastAsia="仿宋" w:cs="仿宋"/>
          <w:color w:val="000000"/>
          <w:kern w:val="0"/>
          <w:sz w:val="24"/>
        </w:rPr>
        <w:t>采购活动前三年内，在经营活动中无重大违法记录。</w:t>
      </w:r>
    </w:p>
    <w:p w14:paraId="6A84D1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其他磋商文件要求的承诺项均符合磋商文件要求。</w:t>
      </w:r>
    </w:p>
    <w:p w14:paraId="646197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630B34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对上述承诺（声明）的真实性负责，若发现实际情况不符合上述声明的情况，完全接受按法律法规和磋商文件处理要求。</w:t>
      </w:r>
    </w:p>
    <w:p w14:paraId="2EE66033">
      <w:pPr>
        <w:ind w:firstLine="480"/>
        <w:rPr>
          <w:rFonts w:hint="eastAsia" w:ascii="仿宋" w:hAnsi="仿宋" w:eastAsia="仿宋" w:cs="仿宋"/>
          <w:color w:val="000000"/>
          <w:kern w:val="0"/>
          <w:sz w:val="24"/>
          <w:lang w:eastAsia="zh-CN"/>
        </w:rPr>
      </w:pPr>
    </w:p>
    <w:p w14:paraId="5430A2E1">
      <w:pPr>
        <w:rPr>
          <w:rFonts w:hint="eastAsia" w:ascii="仿宋" w:hAnsi="仿宋" w:eastAsia="仿宋" w:cs="仿宋"/>
          <w:b/>
          <w:color w:val="000000"/>
          <w:sz w:val="24"/>
        </w:rPr>
      </w:pPr>
    </w:p>
    <w:p w14:paraId="58DCD72B">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2574A1AB">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28C8C3">
      <w:pPr>
        <w:adjustRightInd w:val="0"/>
        <w:spacing w:line="360" w:lineRule="atLeast"/>
        <w:jc w:val="left"/>
        <w:textAlignment w:val="baseline"/>
        <w:rPr>
          <w:rFonts w:hint="eastAsia" w:ascii="仿宋" w:hAnsi="仿宋" w:eastAsia="仿宋" w:cs="仿宋"/>
          <w:b/>
          <w:sz w:val="28"/>
          <w:highlight w:val="none"/>
        </w:rPr>
      </w:pPr>
    </w:p>
    <w:p w14:paraId="676DAEDF">
      <w:pPr>
        <w:rPr>
          <w:rFonts w:hint="eastAsia" w:ascii="仿宋" w:hAnsi="仿宋" w:eastAsia="仿宋" w:cs="仿宋"/>
          <w:b/>
          <w:sz w:val="28"/>
          <w:highlight w:val="none"/>
        </w:rPr>
      </w:pPr>
      <w:r>
        <w:rPr>
          <w:rFonts w:hint="eastAsia" w:ascii="仿宋" w:hAnsi="仿宋" w:eastAsia="仿宋" w:cs="仿宋"/>
          <w:b/>
          <w:sz w:val="28"/>
          <w:highlight w:val="none"/>
        </w:rPr>
        <w:br w:type="page"/>
      </w:r>
    </w:p>
    <w:p w14:paraId="2F59588F">
      <w:pPr>
        <w:jc w:val="both"/>
        <w:rPr>
          <w:rFonts w:ascii="仿宋" w:hAnsi="仿宋" w:eastAsia="仿宋" w:cs="仿宋"/>
          <w:sz w:val="24"/>
          <w:highlight w:val="none"/>
        </w:rPr>
      </w:pPr>
      <w:r>
        <w:rPr>
          <w:rFonts w:hint="eastAsia" w:ascii="黑体" w:hAnsi="黑体" w:eastAsia="黑体" w:cs="黑体"/>
          <w:b w:val="0"/>
          <w:bCs w:val="0"/>
          <w:color w:val="1F4E79"/>
          <w:kern w:val="2"/>
          <w:sz w:val="24"/>
          <w:szCs w:val="28"/>
          <w:lang w:val="en-US" w:eastAsia="zh-CN" w:bidi="ar-SA"/>
        </w:rPr>
        <w:t>二、</w:t>
      </w:r>
      <w:r>
        <w:rPr>
          <w:rFonts w:hint="eastAsia" w:ascii="黑体" w:hAnsi="黑体" w:eastAsia="黑体" w:cs="黑体"/>
          <w:b w:val="0"/>
          <w:bCs w:val="0"/>
          <w:color w:val="1F4E79"/>
          <w:kern w:val="2"/>
          <w:sz w:val="24"/>
          <w:szCs w:val="28"/>
          <w:lang w:val="zh-CN" w:eastAsia="zh-CN" w:bidi="ar-SA"/>
        </w:rPr>
        <w:t>供应商应提供健全的财务会计制度的证明材料；</w:t>
      </w:r>
    </w:p>
    <w:p w14:paraId="3C396927">
      <w:pPr>
        <w:jc w:val="left"/>
        <w:outlineLvl w:val="9"/>
        <w:rPr>
          <w:rFonts w:hint="eastAsia" w:ascii="仿宋" w:hAnsi="仿宋" w:eastAsia="仿宋" w:cs="仿宋"/>
          <w:b/>
          <w:sz w:val="24"/>
          <w:lang w:val="en-US" w:eastAsia="zh-CN"/>
        </w:rPr>
      </w:pPr>
      <w:r>
        <w:rPr>
          <w:rFonts w:ascii="仿宋_GB2312" w:hAnsi="仿宋_GB2312" w:eastAsia="仿宋_GB2312" w:cs="仿宋_GB2312"/>
          <w:color w:val="auto"/>
          <w:highlight w:val="none"/>
        </w:rPr>
        <w:t>提供（1）或提供（2）：（1）提供递交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截止之日前两年内任意一个年度经审计的财务报告，应满足以下要求：①</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是企业的，财务报告是指经会计师事务所审计的上述指定年度整个会计年度财务报表（须提供会计师事务所出具的审计</w:t>
      </w:r>
      <w:bookmarkStart w:id="0" w:name="_GoBack"/>
      <w:bookmarkEnd w:id="0"/>
      <w:r>
        <w:rPr>
          <w:rFonts w:ascii="仿宋_GB2312" w:hAnsi="仿宋_GB2312" w:eastAsia="仿宋_GB2312" w:cs="仿宋_GB2312"/>
          <w:color w:val="auto"/>
          <w:highlight w:val="none"/>
        </w:rPr>
        <w:t>报告复印件）,复印件至少须包括报告正文、资产负债表、现金流量表、利润表、附注和会计师事务所营业执照，报告正文应当有会计师事务所公章和2名注册会计师的签字及盖章。且2022年10月1日后出具的审计报告应当经过</w:t>
      </w:r>
      <w:r>
        <w:rPr>
          <w:rFonts w:ascii="仿宋_GB2312" w:hAnsi="仿宋_GB2312" w:eastAsia="仿宋_GB2312" w:cs="仿宋_GB2312"/>
          <w:color w:val="0000FF"/>
          <w:highlight w:val="none"/>
        </w:rPr>
        <w:t>注册会计师行业统一监管平台备案赋码</w:t>
      </w:r>
      <w:r>
        <w:rPr>
          <w:rFonts w:ascii="仿宋_GB2312" w:hAnsi="仿宋_GB2312" w:eastAsia="仿宋_GB2312" w:cs="仿宋_GB2312"/>
          <w:color w:val="auto"/>
          <w:highlight w:val="none"/>
        </w:rPr>
        <w:t>。②</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适用《事业单位会计准则》的，财务报告是指上述指定年度整个会计年度财务报表（不要求必须是经审计的），复印件至少须包括资产负债表、收入支出表（或收入费用表）、财政补助收入支出表。③</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适用《政府会计准则》的，财务报告是指上述指定年度整个会计年度财务报表（不要求必须是经审计的），复印件至少须包括资产负债表、收入费用表。④</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适用《民间非营利组织会计制度》的，财务报告是指上述指定年度整个会计年度财务报表（不要求必须是经审计的），复印件至少须包括资产负债表、业务活动表、现金流量表。 ⑤</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是上述四种情况以外情况的，按照其依法适用的会计制度、财务规则或会计准则提供财务报表复印件（不要求必须是经审计的）。 （2）提供资信证明原件扫描件或复印件，应满足以下要求：①资信证明须为递交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截止时间前三个月内由</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开户银行出具。②无论开具银行是否标明“复印无效”，</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提供的复印件在本次</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中予以认可（即不因“复印无效”字样而认定资信证明复印件无效）。③银行出具的存款证明不能替代银行资信证明。</w:t>
      </w:r>
    </w:p>
    <w:p w14:paraId="0B7EDD06">
      <w:pPr>
        <w:jc w:val="left"/>
        <w:outlineLvl w:val="9"/>
        <w:rPr>
          <w:rFonts w:hint="eastAsia" w:ascii="仿宋" w:hAnsi="仿宋" w:eastAsia="仿宋" w:cs="仿宋"/>
          <w:b/>
          <w:sz w:val="24"/>
          <w:lang w:val="en-US" w:eastAsia="zh-CN"/>
        </w:rPr>
      </w:pPr>
    </w:p>
    <w:p w14:paraId="3F9E3197">
      <w:pPr>
        <w:rPr>
          <w:rFonts w:hint="eastAsia" w:ascii="仿宋" w:hAnsi="仿宋" w:eastAsia="仿宋" w:cs="仿宋"/>
          <w:b/>
          <w:sz w:val="24"/>
          <w:lang w:val="en-US" w:eastAsia="zh-CN"/>
        </w:rPr>
      </w:pPr>
      <w:r>
        <w:rPr>
          <w:rFonts w:hint="eastAsia" w:ascii="仿宋" w:hAnsi="仿宋" w:eastAsia="仿宋" w:cs="仿宋"/>
          <w:b/>
          <w:sz w:val="24"/>
          <w:lang w:val="en-US" w:eastAsia="zh-CN"/>
        </w:rPr>
        <w:br w:type="page"/>
      </w:r>
    </w:p>
    <w:p w14:paraId="5F38F32C">
      <w:pPr>
        <w:jc w:val="both"/>
        <w:rPr>
          <w:rFonts w:hint="default"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三、供应商特定资格条件</w:t>
      </w:r>
    </w:p>
    <w:p w14:paraId="79FC353C">
      <w:pPr>
        <w:spacing w:after="120"/>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供应商在递交响应文件截止时间前被“信用中国 ” 网站（www.creditchina.gov.cn）和中国政 府采购网（www.ccgp.gov.cn）上被列入失信 被执行人、重大税收违法失信主体、政府采购 严重违法失信行为记录名单的，不得参加磋商：</w:t>
      </w:r>
    </w:p>
    <w:p w14:paraId="18E6CDB0">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（1）信用中国及中国政府采购网查询资料（可提供，以现场查询为准）</w:t>
      </w:r>
    </w:p>
    <w:p w14:paraId="29509B62">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（2）其他</w:t>
      </w:r>
    </w:p>
    <w:p w14:paraId="4BB1231E"/>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CD017"/>
    <w:multiLevelType w:val="singleLevel"/>
    <w:tmpl w:val="A42CD01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0EDA46E0"/>
    <w:rsid w:val="2105312C"/>
    <w:rsid w:val="212E4233"/>
    <w:rsid w:val="4629227B"/>
    <w:rsid w:val="6F3F7B68"/>
    <w:rsid w:val="75B01AD0"/>
    <w:rsid w:val="77C33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eastAsia="宋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1707</Words>
  <Characters>1754</Characters>
  <Lines>0</Lines>
  <Paragraphs>0</Paragraphs>
  <TotalTime>0</TotalTime>
  <ScaleCrop>false</ScaleCrop>
  <LinksUpToDate>false</LinksUpToDate>
  <CharactersWithSpaces>1836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2024-11-06T03:13:00Z</dcterms:created>
  <dc:creator>Administrator</dc:creator>
  <cp:lastModifiedBy>赵锦天</cp:lastModifiedBy>
  <dcterms:modified xsi:type="dcterms:W3CDTF">2025-05-22T10:06:31Z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889A1A315FF34E8382A3BCE5E50B389A_12</vt:lpwstr>
  </property>
  <property fmtid="{D5CDD505-2E9C-101B-9397-08002B2CF9AE}" pid="4" name="KSOTemplateDocerSaveRecord">
    <vt:lpwstr>eyJoZGlkIjoiNDIyN2E3ODkyYjI1ZmIyMTVkYTg4N2M1OGU4YjhlY2MiLCJ1c2VySWQiOiIxMTcyNDcyOSJ9</vt:lpwstr>
  </property>
</Properties>
</file>