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版本号：DQA-2025074--CS20250617001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公路养护专业力量指导帮扶技术服务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DQA-2025074--CS</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公路养护专业力量指导帮扶技术服务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DQA-2025074--CS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公路养护专业力量指导帮扶技术服务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围绕公路风险隐患排查整治工作要求，通过组织专家及技术团队，制定帮扶方案、开展分片区技术培训、抽查核查各类台账、现场联合排查高风险路段及隐患点、提供风险管控与隐患整治技术建议、支持应急处突等工作，提升基层排查人员技术能力，规范风险隐患排查与整治工作，落实相关要求。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1、营业执照等主体资格证明文件：提供有效存续的企业营业执照（副本）/事业单位法人证书/专业服务机构执业许可证/民办非企业单位登记证书等主体资格证明文件，自然人投标提供身份证明。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陕西省交通运输厅机关经办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贾旭鸣、王俊熙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银行账号：52880188000130468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计划委制定的《招标代理服务收费管理暂行办法》（计价格[2002]1980号）及国家发展改革委办公厅制定的《关于招标代理服务收费有关问题的通知》（发改办价格[2003]857号）等相关规定下浮10%收取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围绕公路风险隐患排查整治工作要求，通过组织专家及技术团队，制定帮扶方案、开展分片区技术培训、抽查核查各类台账、现场联合排查高风险路段及隐患点、提供风险管控与隐患整治技术建议、支持应急处突等工作，提升基层排查人员技术能力，规范风险隐患排查与整治工作，落实相关要求。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公路养护专业力量指导帮扶技术服务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标的名称：公路养护专业力量指导帮扶技术服务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b/>
                <w:color w:val="000000"/>
              </w:rPr>
              <w:t>1.项目概况</w:t>
            </w:r>
          </w:p>
          <w:p>
            <w:pPr>
              <w:pStyle w:val="null3"/>
              <w:ind w:firstLine="480"/>
              <w:jc w:val="left"/>
            </w:pPr>
            <w:r>
              <w:rPr>
                <w:rFonts w:ascii="仿宋_GB2312" w:hAnsi="仿宋_GB2312" w:cs="仿宋_GB2312" w:eastAsia="仿宋_GB2312"/>
                <w:sz w:val="24"/>
                <w:color w:val="000000"/>
              </w:rPr>
              <w:t>为落实国省和省上有关公路风险隐患排查整治的有关要求，组织公路养护技术专家力量，下沉全省各市县，围绕公路风险隐患排查、风险路段评估、风险管控、隐患整治等开展技术帮扶指导，完善</w:t>
            </w:r>
            <w:r>
              <w:rPr>
                <w:rFonts w:ascii="仿宋_GB2312" w:hAnsi="仿宋_GB2312" w:cs="仿宋_GB2312" w:eastAsia="仿宋_GB2312"/>
                <w:sz w:val="24"/>
                <w:color w:val="000000"/>
              </w:rPr>
              <w:t>“涉灾隐患点+风险路段”双控体系。</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.项目目标</w:t>
            </w:r>
          </w:p>
          <w:p>
            <w:pPr>
              <w:pStyle w:val="null3"/>
              <w:ind w:firstLine="480"/>
              <w:jc w:val="left"/>
            </w:pPr>
            <w:r>
              <w:rPr>
                <w:rFonts w:ascii="仿宋_GB2312" w:hAnsi="仿宋_GB2312" w:cs="仿宋_GB2312" w:eastAsia="仿宋_GB2312"/>
                <w:sz w:val="24"/>
                <w:color w:val="000000"/>
              </w:rPr>
              <w:t>通过开展公路风险隐患排查技术帮扶，提升基层一线风险隐患排查人员的技术能力和专业水平，推进灾害风险隐患排查和风险管控、隐患整治工作的有序、规范开展。</w:t>
            </w:r>
          </w:p>
          <w:p>
            <w:pPr>
              <w:pStyle w:val="null3"/>
              <w:ind w:firstLine="480"/>
              <w:jc w:val="left"/>
            </w:pPr>
            <w:r>
              <w:rPr>
                <w:rFonts w:ascii="仿宋_GB2312" w:hAnsi="仿宋_GB2312" w:cs="仿宋_GB2312" w:eastAsia="仿宋_GB2312"/>
                <w:sz w:val="24"/>
                <w:b/>
                <w:color w:val="000000"/>
              </w:rPr>
              <w:t>3.项目内容</w:t>
            </w:r>
          </w:p>
          <w:p>
            <w:pPr>
              <w:pStyle w:val="null3"/>
              <w:ind w:firstLine="480"/>
              <w:jc w:val="left"/>
            </w:pPr>
            <w:r>
              <w:rPr>
                <w:rFonts w:ascii="仿宋_GB2312" w:hAnsi="仿宋_GB2312" w:cs="仿宋_GB2312" w:eastAsia="仿宋_GB2312"/>
                <w:sz w:val="24"/>
                <w:color w:val="000000"/>
              </w:rPr>
              <w:t>根据陕西省交通运输厅关于公路风险隐患排查的工作要求，组织相关专业的专家和技术服务团队成员开展公路风险隐患排查技术帮扶工作。技术帮扶工作应包括但不限于下述几个方面的内容：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根据工作开展需要，制定公路风险隐患排查技术帮扶工作方案，细化技术帮扶工作内容，并确定工作推进计划，明确沟通反馈机制。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组织专家对灾害风险隐患排查人员开展技术培训，并就风险隐患排查工作开展情况进行交流，对现场排查、台账建立、风险管控、隐患整治过程中存在的问题进行沟通和答疑。</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根据各公路管理单位建立的风险路段台账、涉灾隐患点台账等资料，按</w:t>
            </w:r>
            <w:r>
              <w:rPr>
                <w:rFonts w:ascii="仿宋_GB2312" w:hAnsi="仿宋_GB2312" w:cs="仿宋_GB2312" w:eastAsia="仿宋_GB2312"/>
                <w:sz w:val="24"/>
                <w:color w:val="000000"/>
              </w:rPr>
              <w:t>15%的比例进行抽查，根据排查期间收集的有关资料对风险路段范围、风险等级及各类隐患点等级进行核查，并对存疑的路段或隐患进行现场核查。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对灾害风险隐患排查过程中发现的全部高风险路段、重大隐患点及</w:t>
            </w:r>
            <w:r>
              <w:rPr>
                <w:rFonts w:ascii="仿宋_GB2312" w:hAnsi="仿宋_GB2312" w:cs="仿宋_GB2312" w:eastAsia="仿宋_GB2312"/>
                <w:sz w:val="24"/>
                <w:color w:val="000000"/>
              </w:rPr>
              <w:t>15%的较高风险路段、较高隐患点，与管理单位开展现场联合排查工作，开展联合排查工作的管理单位数量不少于10个。</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根据风险隐患台账对风险管控和隐患整治情况进行调查，对风险管控措施、隐患整治方案、应急预案、工作进度计划等提出有关的技术建议。</w:t>
            </w:r>
          </w:p>
          <w:p>
            <w:pPr>
              <w:pStyle w:val="null3"/>
              <w:ind w:firstLine="48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4"/>
                <w:color w:val="000000"/>
              </w:rPr>
              <w:t>根据全省各地涉路突发事件和灾情发生情况，配合开展应急处突和灾情处置的有关工作，应急处突和灾情处置期间配备满足工作需要的技术专家全程提供技术支持，全年技术支持不少于</w:t>
            </w:r>
            <w:r>
              <w:rPr>
                <w:rFonts w:ascii="仿宋_GB2312" w:hAnsi="仿宋_GB2312" w:cs="仿宋_GB2312" w:eastAsia="仿宋_GB2312"/>
                <w:sz w:val="24"/>
                <w:color w:val="000000"/>
              </w:rPr>
              <w:t>20人次。</w:t>
            </w:r>
          </w:p>
          <w:p>
            <w:pPr>
              <w:pStyle w:val="null3"/>
              <w:ind w:firstLine="480"/>
              <w:jc w:val="left"/>
            </w:pPr>
            <w:r>
              <w:rPr>
                <w:rFonts w:ascii="仿宋_GB2312" w:hAnsi="仿宋_GB2312" w:cs="仿宋_GB2312" w:eastAsia="仿宋_GB2312"/>
                <w:sz w:val="24"/>
                <w:b/>
                <w:color w:val="000000"/>
              </w:rPr>
              <w:t>4.成果要求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公路灾害风险隐患排查</w:t>
            </w:r>
            <w:r>
              <w:rPr>
                <w:rFonts w:ascii="仿宋_GB2312" w:hAnsi="仿宋_GB2312" w:cs="仿宋_GB2312" w:eastAsia="仿宋_GB2312"/>
                <w:sz w:val="24"/>
                <w:color w:val="000000"/>
              </w:rPr>
              <w:t>技术帮扶实施方案；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公路灾害风险隐患排查培训课件；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3）风险隐患排查台账核查报告；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4）较高以上风险点联合排查工作报告；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5）风险管控和隐患整治技术建议报告；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6）应急处突和灾情处治专家意见汇编；</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7）公路灾害风险隐患排查技术帮扶总结报告。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1.专家力量：配备具有高级职称的养护技术专家不少于10位。 2.技术服务团队：配备的项目负责人应具有高级职称，且具有5年以上从业经验；配备具有中级以上职称的养护技术团队服务成员不少于6人。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1.纸质文件要求 （1）供应商需要在线提交所有通过电子化交易平台实施的政府采购项目的响应文件，同时，线下提交纸质响应文件正本壹份、副本壹份。若电子响应文件与纸质响应文件不一致的，以电子响应文件为准。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2、磋商保证金注意事项 （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deqinjxm@126.com（邮件命名：项目编号）；供应商应在响应文件中附保函扫描件。保函必须由具有开具投标保函资格的单位开具；若成交人违约，开具保函单位承担连带责任；（2）磋商保证金的提交金额、时间不满足磋商文件要求的，响应无效；（3）未按指定账户提交的，我公司将退回，供应商须在响应文件递交截止时间前按照指定账户再次提交。 3、因文件关于合同签订时间无法修改，特在此处说明，成交人应当在成交通知书发出之日起25日内与采购人签订政府采购合同。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保证金汇款声明函.docx 非联合体不分包磋商声明.docx 服务内容及服务邀请应答表 中小企业声明函 商务应答表 供应商应提交的相关资格证明材料 报价表 控股管理关系.docx 响应文件封面 分项报价表.docx 书面声明.docx 残疾人福利性单位声明函 服务方案 标的清单 响应函 近三年无重大违法、违纪书面声明.docx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保证金汇款声明函.docx 非联合体不分包磋商声明.docx 服务内容及服务邀请应答表 中小企业声明函 商务应答表 供应商应提交的相关资格证明材料 报价表 控股管理关系.docx 响应文件封面 分项报价表.docx 书面声明.docx 残疾人福利性单位声明函 服务方案 标的清单 响应函 近三年无重大违法、违纪书面声明.docx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根据项目需求提出适用于本项目的总体服务方案，方案内容包含：①项目背景②服务目标③服务内容及标准④服务理念及特色⑤服务计划。 根据方案的响应程度，完全响应得15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主要任务</w:t>
            </w:r>
          </w:p>
        </w:tc>
        <w:tc>
          <w:tcPr>
            <w:tcW w:type="dxa" w:w="2492"/>
          </w:tcPr>
          <w:p>
            <w:pPr>
              <w:pStyle w:val="null3"/>
            </w:pPr>
            <w:r>
              <w:rPr>
                <w:rFonts w:ascii="仿宋_GB2312" w:hAnsi="仿宋_GB2312" w:cs="仿宋_GB2312" w:eastAsia="仿宋_GB2312"/>
              </w:rPr>
              <w:t>根据项目需求提出适用于本项目的具体实施方案，方案内容包含：①需求分析②调研方案③分析思路④对策建议 根据方案的响应程度，完全响应得12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根据项目需求提出适用于本项目的质量管理制度，控制各工作环节质量，确保提交成果质量满足要求，方案内容包括：①重难点分析②风险管控③质量控制④质量检查验收。 根据方案的响应程度，完全响应得6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根据项目需求提出适用于本项目的进度管理方案，方案内容包括：①实施进度②培训进度③成果提交④隐患处置。 根据方案的响应程度，完全响应得6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根据项目需求提出适用本项目的安全保密方案，方案内容包含①制度建设②人员管理③设备管理。 根据方案的响应程度，完全响应得6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项目负责人配置</w:t>
            </w:r>
          </w:p>
        </w:tc>
        <w:tc>
          <w:tcPr>
            <w:tcW w:type="dxa" w:w="2492"/>
          </w:tcPr>
          <w:p>
            <w:pPr>
              <w:pStyle w:val="null3"/>
            </w:pPr>
            <w:r>
              <w:rPr>
                <w:rFonts w:ascii="仿宋_GB2312" w:hAnsi="仿宋_GB2312" w:cs="仿宋_GB2312" w:eastAsia="仿宋_GB2312"/>
              </w:rPr>
              <w:t>1.项目负责人具有相关行业五年以上从业经验得2分。 2.项目负责人具有高级职称的得1分，具有正高级职称的得2分。 3.每提供一个项目负责人对应的风险隐患排查项目或灾害处治设计项目业绩得1分，最多得3分。 注： 1.提供项目负责人职称证书、开标前半年内任意一个月得社保缴纳证明或劳动合同复印件或扫描件。 2.提供项目负责人业绩合同复印件或扫描件。 3.提供项目负责人从业年限证明（劳动合同或社保缴纳证明或就职单位出具得从业证明材料）。</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专家及技术服务团队配置</w:t>
            </w:r>
          </w:p>
        </w:tc>
        <w:tc>
          <w:tcPr>
            <w:tcW w:type="dxa" w:w="2492"/>
          </w:tcPr>
          <w:p>
            <w:pPr>
              <w:pStyle w:val="null3"/>
            </w:pPr>
            <w:r>
              <w:rPr>
                <w:rFonts w:ascii="仿宋_GB2312" w:hAnsi="仿宋_GB2312" w:cs="仿宋_GB2312" w:eastAsia="仿宋_GB2312"/>
              </w:rPr>
              <w:t>1.供应商为本项目配备不少于10位具有高级职称的养护专家，得3分； 2.专家专业领域包括地质（岩土）工程专业、道路工程专业、桥梁工程专业或隧道工程专业，专家团队的专业领域每满足1个专业得1分，最高得3分； 3.供应商为本项目配备的技术服务人员不少于6人得1分； 4.技术服务人员专业领域包括地质（岩土）工程专业、道路工程专业、桥梁工程专业或隧道工程专业，技术服务人员团队的专业领域每满足1个专业得1分，最高得4分。 注：提供上述相关人员职称证、身份证及其他相关证明材料复印件或扫描件。</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2020年1月1日（以合同签订日期为准）至今已完成类似项目业绩（类似业绩指：风险隐患排查类项目或灾害处治设计类项目）,每提供一个业绩得3分，最高得12分，以响应文件中所附合同复印件或扫描件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（1）供应商具备工程设计综合乙级资质的，得1分；具备工程设计综合甲级资质的，得3分。 （2）供应商具备工程咨询单位甲级资信证书（含公路专业）的，得3分。（3）供应商近5年在养护方面获得过国家级科学技术进步奖的，得3分。 （4）供应商近5年参与过养护相关的国家标准或行业标准规范编制的，每项加2分，最多加6分（以规范发布日期为准）。 注：提供对应证明材料（证书、奖项、规范编制证明）复印件或扫描件。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详见附件：非联合体不分包磋商声明.docx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