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版本号：【KRDL】K2-250605920250701002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长安校区2025年毕业生宿舍粉刷项目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【KRDL】K2-2506059</w:t>
      </w:r>
      <w:r>
        <w:br/>
      </w:r>
      <w:r>
        <w:br/>
      </w:r>
      <w:r>
        <w:br/>
      </w:r>
    </w:p>
    <w:p>
      <w:pPr>
        <w:pStyle w:val="null3"/>
        <w:jc w:val="center"/>
        <w:outlineLvl w:val="2"/>
      </w:pPr>
      <w:r>
        <w:rPr>
          <w:rFonts w:ascii="仿宋_GB2312" w:hAnsi="仿宋_GB2312" w:cs="仿宋_GB2312" w:eastAsia="仿宋_GB2312"/>
          <w:sz w:val="28"/>
          <w:b/>
        </w:rPr>
        <w:t>西北政法大学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西北政法大学</w:t>
      </w:r>
      <w:r>
        <w:rPr>
          <w:rFonts w:ascii="仿宋_GB2312" w:hAnsi="仿宋_GB2312" w:cs="仿宋_GB2312" w:eastAsia="仿宋_GB2312"/>
        </w:rPr>
        <w:t>委托，拟对</w:t>
      </w:r>
      <w:r>
        <w:rPr>
          <w:rFonts w:ascii="仿宋_GB2312" w:hAnsi="仿宋_GB2312" w:cs="仿宋_GB2312" w:eastAsia="仿宋_GB2312"/>
        </w:rPr>
        <w:t>长安校区2025年毕业生宿舍粉刷项目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【KRDL】K2-2506059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长安校区2025年毕业生宿舍粉刷项目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本项目主要包括长安校区2025年627间毕业生宿舍及部分公共区域进行墙面粉刷维修及宿舍内公寓楼桌、椅、床、窗等维修、窗纱更换，具体详见竞争性磋商文件及工程量清单。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采购包1（西北政法大学长安校区2025年毕业生宿舍粉刷项目）：属于专门面向中小企业采购。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列入严重违法失信企业名单（黑名单）信息；</w:t>
      </w:r>
    </w:p>
    <w:p>
      <w:pPr>
        <w:pStyle w:val="null3"/>
      </w:pPr>
      <w:r>
        <w:rPr>
          <w:rFonts w:ascii="仿宋_GB2312" w:hAnsi="仿宋_GB2312" w:cs="仿宋_GB2312" w:eastAsia="仿宋_GB2312"/>
        </w:rPr>
        <w:t>3、磋商授权代表：供应商应授权合法的人员参加本项目竞争性磋商会议全过程；</w:t>
      </w:r>
    </w:p>
    <w:p>
      <w:pPr>
        <w:pStyle w:val="null3"/>
      </w:pPr>
      <w:r>
        <w:rPr>
          <w:rFonts w:ascii="仿宋_GB2312" w:hAnsi="仿宋_GB2312" w:cs="仿宋_GB2312" w:eastAsia="仿宋_GB2312"/>
        </w:rPr>
        <w:t>4、供应商资质要求：参加本项目的供应商应具备建设行政主管部门颁发合法有效的建筑装修装饰工程专业承包二级（含）及以上资质，且须具备合法有效的安全生产许可证，并在人员、设备、资金等方面具备相应施工能力且无不良记录；</w:t>
      </w:r>
    </w:p>
    <w:p>
      <w:pPr>
        <w:pStyle w:val="null3"/>
      </w:pPr>
      <w:r>
        <w:rPr>
          <w:rFonts w:ascii="仿宋_GB2312" w:hAnsi="仿宋_GB2312" w:cs="仿宋_GB2312" w:eastAsia="仿宋_GB2312"/>
        </w:rPr>
        <w:t>5、供应商拟派项目经理资质和专业要求：供应商拟派项目经理资质和专业要求：参加本项目的供应商拟派项目经理具备合法有效的建筑工程专业注册建造师二级（含）及以上执业资格及安全生产考核合格证书（安全B证），且在本单位注册且无在建工程；</w:t>
      </w:r>
    </w:p>
    <w:p>
      <w:pPr>
        <w:pStyle w:val="null3"/>
      </w:pPr>
      <w:r>
        <w:rPr>
          <w:rFonts w:ascii="仿宋_GB2312" w:hAnsi="仿宋_GB2312" w:cs="仿宋_GB2312" w:eastAsia="仿宋_GB2312"/>
        </w:rPr>
        <w:t>6、供应商拟派项目经理备案：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7、是否面向中、小企业采购：本项目为专门面向中、小企业项目，供应商应为中型企业或小型企业或微型企业。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西北政法大学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西安市长安区西长安街558号西北政法大学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029-88182569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赵婉婷、刘昆、姚瑶、王昭、代光艳、张晨、王森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15667290283、15829336226、029-89581311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采购包1：989,079.49元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采购包1保证金金额：10,002.00元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本采购包履约保证金为合同金额的2%</w:t>
            </w:r>
          </w:p>
          <w:p>
            <w:pPr>
              <w:pStyle w:val="null3"/>
            </w:pPr>
            <w:r>
              <w:rPr>
                <w:rFonts w:ascii="仿宋_GB2312" w:hAnsi="仿宋_GB2312" w:cs="仿宋_GB2312" w:eastAsia="仿宋_GB2312"/>
              </w:rPr>
              <w:t>说明：退还时间：验收合格后，经招标人同意无息退还。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857号）的有关规定标准下浮20%向采购代理机构一次付清代理服务费。备注：在对采购代理服务费或者磋商保证金转账时需备注项目名称+招标代理服务费或投标保证金。</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踏勘时间：2025-06-27 10:00:00</w:t>
            </w:r>
          </w:p>
          <w:p>
            <w:pPr>
              <w:pStyle w:val="null3"/>
              <w:ind w:firstLine="975"/>
            </w:pPr>
            <w:r>
              <w:rPr>
                <w:rFonts w:ascii="仿宋_GB2312" w:hAnsi="仿宋_GB2312" w:cs="仿宋_GB2312" w:eastAsia="仿宋_GB2312"/>
              </w:rPr>
              <w:t>踏勘地点：西北政法大学长安校区1#学生公寓门前</w:t>
            </w:r>
          </w:p>
          <w:p>
            <w:pPr>
              <w:pStyle w:val="null3"/>
              <w:ind w:firstLine="975"/>
            </w:pPr>
            <w:r>
              <w:rPr>
                <w:rFonts w:ascii="仿宋_GB2312" w:hAnsi="仿宋_GB2312" w:cs="仿宋_GB2312" w:eastAsia="仿宋_GB2312"/>
              </w:rPr>
              <w:t>联系人：韩工</w:t>
            </w:r>
          </w:p>
          <w:p>
            <w:pPr>
              <w:pStyle w:val="null3"/>
              <w:ind w:firstLine="975"/>
            </w:pPr>
            <w:r>
              <w:rPr>
                <w:rFonts w:ascii="仿宋_GB2312" w:hAnsi="仿宋_GB2312" w:cs="仿宋_GB2312" w:eastAsia="仿宋_GB2312"/>
              </w:rPr>
              <w:t>联系电话号码：13152000767</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西北政法大学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西北政法大学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西北政法大学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联系人：赵婉婷、刘昆</w:t>
      </w:r>
    </w:p>
    <w:p>
      <w:pPr>
        <w:pStyle w:val="null3"/>
      </w:pPr>
      <w:r>
        <w:rPr>
          <w:rFonts w:ascii="仿宋_GB2312" w:hAnsi="仿宋_GB2312" w:cs="仿宋_GB2312" w:eastAsia="仿宋_GB2312"/>
        </w:rPr>
        <w:t>联系电话：15667290283、029-89581311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989,079.49</w:t>
      </w:r>
    </w:p>
    <w:p>
      <w:pPr>
        <w:pStyle w:val="null3"/>
      </w:pPr>
      <w:r>
        <w:rPr>
          <w:rFonts w:ascii="仿宋_GB2312" w:hAnsi="仿宋_GB2312" w:cs="仿宋_GB2312" w:eastAsia="仿宋_GB2312"/>
        </w:rPr>
        <w:t>采购包最高限价（元）: 989,079.49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西北政法大学长安校区2025年毕业生宿舍粉刷项目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989,079.49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标的名称：西北政法大学长安校区2025年毕业生宿舍粉刷项目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4F81BD"/>
              </w:rPr>
              <w:t>一、项目概况</w:t>
            </w:r>
          </w:p>
          <w:p>
            <w:pPr>
              <w:pStyle w:val="null3"/>
              <w:ind w:firstLine="480"/>
              <w:jc w:val="both"/>
            </w:pPr>
            <w:r>
              <w:rPr>
                <w:rFonts w:ascii="仿宋_GB2312" w:hAnsi="仿宋_GB2312" w:cs="仿宋_GB2312" w:eastAsia="仿宋_GB2312"/>
                <w:sz w:val="24"/>
                <w:color w:val="4F81BD"/>
              </w:rPr>
              <w:t>本项目主要包括长安校区</w:t>
            </w:r>
            <w:r>
              <w:rPr>
                <w:rFonts w:ascii="仿宋_GB2312" w:hAnsi="仿宋_GB2312" w:cs="仿宋_GB2312" w:eastAsia="仿宋_GB2312"/>
                <w:sz w:val="24"/>
                <w:color w:val="4F81BD"/>
              </w:rPr>
              <w:t>2025年627间毕业生宿舍及部分公共区域进行墙面粉刷维修及宿舍内公寓楼桌、椅、床、窗等维修、窗纱更换</w:t>
            </w:r>
            <w:r>
              <w:rPr>
                <w:rFonts w:ascii="仿宋_GB2312" w:hAnsi="仿宋_GB2312" w:cs="仿宋_GB2312" w:eastAsia="仿宋_GB2312"/>
                <w:sz w:val="24"/>
                <w:color w:val="4F81BD"/>
              </w:rPr>
              <w:t>。</w:t>
            </w:r>
          </w:p>
          <w:p>
            <w:pPr>
              <w:pStyle w:val="null3"/>
              <w:ind w:firstLine="480"/>
              <w:jc w:val="both"/>
            </w:pPr>
            <w:r>
              <w:rPr>
                <w:rFonts w:ascii="仿宋_GB2312" w:hAnsi="仿宋_GB2312" w:cs="仿宋_GB2312" w:eastAsia="仿宋_GB2312"/>
                <w:sz w:val="24"/>
                <w:color w:val="4F81BD"/>
              </w:rPr>
              <w:t>二、</w:t>
            </w:r>
            <w:r>
              <w:rPr>
                <w:rFonts w:ascii="仿宋_GB2312" w:hAnsi="仿宋_GB2312" w:cs="仿宋_GB2312" w:eastAsia="仿宋_GB2312"/>
                <w:sz w:val="24"/>
                <w:color w:val="4F81BD"/>
              </w:rPr>
              <w:t>采购标的要求</w:t>
            </w:r>
          </w:p>
          <w:p>
            <w:pPr>
              <w:pStyle w:val="null3"/>
              <w:ind w:firstLine="480"/>
              <w:jc w:val="both"/>
            </w:pPr>
            <w:r>
              <w:rPr>
                <w:rFonts w:ascii="仿宋_GB2312" w:hAnsi="仿宋_GB2312" w:cs="仿宋_GB2312" w:eastAsia="仿宋_GB2312"/>
                <w:sz w:val="24"/>
                <w:color w:val="4F81BD"/>
              </w:rPr>
              <w:t>（一）主要目的及要求：</w:t>
            </w:r>
            <w:r>
              <w:rPr>
                <w:rFonts w:ascii="仿宋_GB2312" w:hAnsi="仿宋_GB2312" w:cs="仿宋_GB2312" w:eastAsia="仿宋_GB2312"/>
                <w:sz w:val="24"/>
                <w:color w:val="4F81BD"/>
              </w:rPr>
              <w:t>长安校区</w:t>
            </w:r>
            <w:r>
              <w:rPr>
                <w:rFonts w:ascii="仿宋_GB2312" w:hAnsi="仿宋_GB2312" w:cs="仿宋_GB2312" w:eastAsia="仿宋_GB2312"/>
                <w:sz w:val="24"/>
                <w:color w:val="4F81BD"/>
              </w:rPr>
              <w:t>627间宿舍粉刷、桌椅床窗维修、窗纱更换，粉刷面积71286.97平方米。</w:t>
            </w:r>
          </w:p>
          <w:p>
            <w:pPr>
              <w:pStyle w:val="null3"/>
              <w:ind w:firstLine="480"/>
              <w:jc w:val="both"/>
            </w:pPr>
            <w:r>
              <w:rPr>
                <w:rFonts w:ascii="仿宋_GB2312" w:hAnsi="仿宋_GB2312" w:cs="仿宋_GB2312" w:eastAsia="仿宋_GB2312"/>
                <w:sz w:val="24"/>
                <w:color w:val="4F81BD"/>
              </w:rPr>
              <w:t>（二）</w:t>
            </w:r>
            <w:r>
              <w:rPr>
                <w:rFonts w:ascii="仿宋_GB2312" w:hAnsi="仿宋_GB2312" w:cs="仿宋_GB2312" w:eastAsia="仿宋_GB2312"/>
                <w:sz w:val="24"/>
                <w:color w:val="4F81BD"/>
              </w:rPr>
              <w:t>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598"/>
              <w:gridCol w:w="1147"/>
              <w:gridCol w:w="378"/>
              <w:gridCol w:w="430"/>
            </w:tblGrid>
            <w:tr>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楼号</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具体部位</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房间数</w:t>
                  </w:r>
                </w:p>
              </w:tc>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面积（</w:t>
                  </w:r>
                  <w:r>
                    <w:rPr>
                      <w:rFonts w:ascii="仿宋_GB2312" w:hAnsi="仿宋_GB2312" w:cs="仿宋_GB2312" w:eastAsia="仿宋_GB2312"/>
                      <w:sz w:val="24"/>
                      <w:b/>
                      <w:color w:val="4F81BD"/>
                    </w:rPr>
                    <w:t>m2）</w:t>
                  </w:r>
                </w:p>
              </w:tc>
            </w:tr>
            <w:tr>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201-228,301-316,318</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45</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3858.30</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2-3层走廊及阳台</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961.46</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1-3层楼梯间</w:t>
                  </w:r>
                </w:p>
              </w:tc>
              <w:tc>
                <w:tcPr>
                  <w:tcW w:type="dxa" w:w="378"/>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389.76</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624—626；</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257.22</w:t>
                  </w:r>
                </w:p>
              </w:tc>
            </w:tr>
            <w:tr>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108-133,115,201-222,301-322,401-422,501-522,601-619、621、622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113</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9688.62</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1-6#走廊及阳台</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2158.56</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1-7层楼梯间（每层2个）</w:t>
                  </w:r>
                </w:p>
              </w:tc>
              <w:tc>
                <w:tcPr>
                  <w:tcW w:type="dxa" w:w="378"/>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909.44</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4#宿舍楼</w:t>
                  </w:r>
                </w:p>
              </w:tc>
              <w:tc>
                <w:tcPr>
                  <w:tcW w:type="dxa" w:w="1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107-110、515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5</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428.70</w:t>
                  </w:r>
                </w:p>
              </w:tc>
            </w:tr>
            <w:tr>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5#宿舍楼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108、110-120、201-220、301-320、401-420、501-520、601-620;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112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9602.88</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1-6层走廊及阳台</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1988.36</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1-7层楼梯间（每层2个）</w:t>
                  </w:r>
                </w:p>
              </w:tc>
              <w:tc>
                <w:tcPr>
                  <w:tcW w:type="dxa" w:w="378"/>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909.44</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6#楼宿舍楼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公寓管理科办公室</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85.74</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7#宿舍楼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112、301-316、414-418、503-512;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2743.68</w:t>
                  </w:r>
                </w:p>
              </w:tc>
            </w:tr>
            <w:tr>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9#宿舍楼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219、220;</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171.48</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6-7层楼梯间（每层3个）</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1169.28</w:t>
                  </w:r>
                </w:p>
              </w:tc>
            </w:tr>
            <w:tr>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10#宿舍楼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101、126-143、221-253、301-353、427-453、501-536</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168</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14404.32</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西一层走廊及阳台</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846.28</w:t>
                  </w:r>
                </w:p>
              </w:tc>
            </w:tr>
            <w:tr>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11#宿舍楼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301-326、518-522、601-626;</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57</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4887.18</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3-6层楼梯间（每层2个）</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388.14</w:t>
                  </w:r>
                </w:p>
              </w:tc>
            </w:tr>
            <w:tr>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12#A宿舍楼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102-103、105-117、601-623;</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38</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4270.82</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1层、6层走廊及阳台</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1299.24</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1-6层楼梯间（每层1个）</w:t>
                  </w:r>
                </w:p>
              </w:tc>
              <w:tc>
                <w:tcPr>
                  <w:tcW w:type="dxa" w:w="378"/>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389.76</w:t>
                  </w:r>
                </w:p>
              </w:tc>
            </w:tr>
            <w:tr>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12#B宿舍楼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1-7层楼梯间（每层1个）</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454.72</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阳台（</w:t>
                  </w:r>
                  <w:r>
                    <w:rPr>
                      <w:rFonts w:ascii="仿宋_GB2312" w:hAnsi="仿宋_GB2312" w:cs="仿宋_GB2312" w:eastAsia="仿宋_GB2312"/>
                      <w:sz w:val="24"/>
                      <w:color w:val="4F81BD"/>
                    </w:rPr>
                    <w:t>10个）</w:t>
                  </w:r>
                </w:p>
              </w:tc>
              <w:tc>
                <w:tcPr>
                  <w:tcW w:type="dxa" w:w="378"/>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222.60</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12#C宿舍楼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6-7层楼梯间（每层2个）</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259.84</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13#宿舍楼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222;303、310、313</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449.56</w:t>
                  </w:r>
                </w:p>
              </w:tc>
            </w:tr>
            <w:tr>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14#东宿舍楼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402-441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40</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4495.60</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4层走廊及阳台</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1458.98</w:t>
                  </w:r>
                </w:p>
              </w:tc>
            </w:tr>
            <w:tr>
              <w:tc>
                <w:tcPr>
                  <w:tcW w:type="dxa" w:w="598"/>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1-5层楼梯间（每层1个）</w:t>
                  </w:r>
                </w:p>
              </w:tc>
              <w:tc>
                <w:tcPr>
                  <w:tcW w:type="dxa" w:w="378"/>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1350.28</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14#西宿舍楼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633-635、637-640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7</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786.73</w:t>
                  </w:r>
                </w:p>
              </w:tc>
            </w:tr>
          </w:tbl>
          <w:p>
            <w:pPr>
              <w:pStyle w:val="null3"/>
              <w:ind w:firstLine="480"/>
              <w:jc w:val="both"/>
            </w:pPr>
            <w:r>
              <w:rPr>
                <w:rFonts w:ascii="仿宋_GB2312" w:hAnsi="仿宋_GB2312" w:cs="仿宋_GB2312" w:eastAsia="仿宋_GB2312"/>
                <w:sz w:val="24"/>
                <w:color w:val="4F81BD"/>
              </w:rPr>
              <w:t>以上宿舍中有部分宿舍墙面损坏严重需全部铲除粉刷，其余宿舍及公共区域墙面局部粉刷，具体全铲全刷的宿舍及面积如下：</w:t>
            </w:r>
          </w:p>
          <w:tbl>
            <w:tblPr>
              <w:tblInd w:type="dxa" w:w="120"/>
              <w:tblBorders>
                <w:top w:val="none" w:color="000000" w:sz="4"/>
                <w:left w:val="none" w:color="000000" w:sz="4"/>
                <w:bottom w:val="none" w:color="000000" w:sz="4"/>
                <w:right w:val="none" w:color="000000" w:sz="4"/>
                <w:insideH w:val="none"/>
                <w:insideV w:val="none"/>
              </w:tblBorders>
            </w:tblPr>
            <w:tblGrid>
              <w:gridCol w:w="643"/>
              <w:gridCol w:w="1100"/>
              <w:gridCol w:w="390"/>
              <w:gridCol w:w="414"/>
            </w:tblGrid>
            <w:tr>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楼号</w:t>
                  </w:r>
                </w:p>
              </w:tc>
              <w:tc>
                <w:tcPr>
                  <w:tcW w:type="dxa" w:w="1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宿舍号</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房间数</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面积（</w:t>
                  </w:r>
                  <w:r>
                    <w:rPr>
                      <w:rFonts w:ascii="仿宋_GB2312" w:hAnsi="仿宋_GB2312" w:cs="仿宋_GB2312" w:eastAsia="仿宋_GB2312"/>
                      <w:sz w:val="24"/>
                      <w:b/>
                      <w:color w:val="4F81BD"/>
                    </w:rPr>
                    <w:t>m2）</w:t>
                  </w:r>
                </w:p>
              </w:tc>
            </w:tr>
            <w:tr>
              <w:tc>
                <w:tcPr>
                  <w:tcW w:type="dxa" w:w="64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3#楼宿舍楼</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601、602、622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257.22</w:t>
                  </w:r>
                </w:p>
              </w:tc>
            </w:tr>
            <w:tr>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6#楼宿舍楼</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公寓管理科办公室</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85.74</w:t>
                  </w:r>
                </w:p>
              </w:tc>
            </w:tr>
            <w:tr>
              <w:tc>
                <w:tcPr>
                  <w:tcW w:type="dxa" w:w="64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11#宿舍楼</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602-621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1714.80</w:t>
                  </w:r>
                </w:p>
              </w:tc>
            </w:tr>
            <w:tr>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14#西宿舍楼</w:t>
                  </w:r>
                </w:p>
              </w:tc>
              <w:tc>
                <w:tcPr>
                  <w:tcW w:type="dxa" w:w="110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633-635、637-640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F81BD"/>
                    </w:rPr>
                    <w:t>786.73</w:t>
                  </w:r>
                </w:p>
              </w:tc>
            </w:tr>
          </w:tbl>
          <w:p>
            <w:pPr>
              <w:pStyle w:val="null3"/>
              <w:ind w:firstLine="480"/>
              <w:jc w:val="both"/>
            </w:pPr>
            <w:r>
              <w:rPr>
                <w:rFonts w:ascii="仿宋_GB2312" w:hAnsi="仿宋_GB2312" w:cs="仿宋_GB2312" w:eastAsia="仿宋_GB2312"/>
                <w:sz w:val="24"/>
                <w:color w:val="4F81BD"/>
              </w:rPr>
              <w:t>三、施工要求</w:t>
            </w:r>
          </w:p>
          <w:p>
            <w:pPr>
              <w:pStyle w:val="null3"/>
              <w:ind w:firstLine="480"/>
              <w:jc w:val="both"/>
            </w:pPr>
            <w:r>
              <w:rPr>
                <w:rFonts w:ascii="仿宋_GB2312" w:hAnsi="仿宋_GB2312" w:cs="仿宋_GB2312" w:eastAsia="仿宋_GB2312"/>
                <w:sz w:val="24"/>
                <w:color w:val="4F81BD"/>
              </w:rPr>
              <w:t>1.墙面刷乳胶漆：清除原起皮、起鼓、龟裂、污染、贴画等墙皮，重新刮腻子两遍，全墙面打磨、清扫，喷刷乳胶漆两遍。</w:t>
            </w:r>
          </w:p>
          <w:p>
            <w:pPr>
              <w:pStyle w:val="null3"/>
              <w:ind w:firstLine="480"/>
              <w:jc w:val="both"/>
            </w:pPr>
            <w:r>
              <w:rPr>
                <w:rFonts w:ascii="仿宋_GB2312" w:hAnsi="仿宋_GB2312" w:cs="仿宋_GB2312" w:eastAsia="仿宋_GB2312"/>
                <w:sz w:val="24"/>
                <w:color w:val="4F81BD"/>
              </w:rPr>
              <w:t>2.乳胶漆喷刷后要求墙面平整，无空鼓、起泡、开裂等现象，无掉粉、起皮、漏刷、流挂、刷痕等现象。</w:t>
            </w:r>
          </w:p>
          <w:p>
            <w:pPr>
              <w:pStyle w:val="null3"/>
              <w:ind w:firstLine="480"/>
              <w:jc w:val="both"/>
            </w:pPr>
            <w:r>
              <w:rPr>
                <w:rFonts w:ascii="仿宋_GB2312" w:hAnsi="仿宋_GB2312" w:cs="仿宋_GB2312" w:eastAsia="仿宋_GB2312"/>
                <w:sz w:val="24"/>
                <w:color w:val="4F81BD"/>
              </w:rPr>
              <w:t>3.</w:t>
            </w:r>
            <w:r>
              <w:rPr>
                <w:rFonts w:ascii="仿宋_GB2312" w:hAnsi="仿宋_GB2312" w:cs="仿宋_GB2312" w:eastAsia="仿宋_GB2312"/>
                <w:sz w:val="24"/>
                <w:color w:val="4F81BD"/>
              </w:rPr>
              <w:t>627 间宿舍内所有的桌、椅、床（7号、11号楼每间4个，其余宿舍每间6个）、窗（1-11号楼每间1个，12-14号楼每间2个）维修，窗纱（每间1个）更换:需将桌椅床维修至可正常使用状态。</w:t>
            </w:r>
          </w:p>
          <w:p>
            <w:pPr>
              <w:pStyle w:val="null3"/>
              <w:jc w:val="both"/>
            </w:pPr>
            <w:r>
              <w:rPr>
                <w:rFonts w:ascii="仿宋_GB2312" w:hAnsi="仿宋_GB2312" w:cs="仿宋_GB2312" w:eastAsia="仿宋_GB2312"/>
                <w:sz w:val="24"/>
                <w:color w:val="4F81BD"/>
              </w:rPr>
              <w:t xml:space="preserve">   4.施工过程中不允许踩踏宿舍内桌椅床，做好宿舍内设施保护，施工结束清扫现场，施工过程中垃圾由施工方清运至校外。</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工程质量：质量满足《建筑装饰装修工程质量验收标准》（GB50210-2018）要求，达到合格标准。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1.计划工期：合同签订后30个日历天内。 2.质量标准：质量满足《建筑装饰装修工程质量验收标准》（GB50210-2018）要求，达到合格标准。 3.工程地点：西北政法大学长安校区1#-7#、10#-14#学生公寓。 4.质保期：本工程整体质量保修期两年，自验收合格之日起计算，若供应商承诺质量保修期多于文件要求的则按其承诺，保修期内须提供24小时内的紧急维修服务。 5.投标报价要求： （1）报价方式：本项目报价以“总价及全费用单价”进行填报磋商报价，其中全费用单价以“ 元/m2”进行填报，本项目工程量为暂定量，按 m2计算磋商总价。最终以成交单价为准，按照实际施工量结合合同约定的结算方式进行据实结算。 （2）因施工产生的建筑垃圾清运费用均包含在磋商单价内，不再另行计费。 （3）本工程工期每无故拖延一天，按照合同价的0.1%按天累计从工程款项中一次性扣除。 （4）工程施工结算阶段，承包人应据实申报结算资料及组价，经审计后审减率超出10%（含10%）时，发生的全部审计成果费由承包人承担。 （5）本次工程采购人提供部分主要内容工程量，由供应商自主报价，竞争性磋商报价包括人工费、主辅材费、机械费、管理费、利润、风险费、措施费、垃圾清运费、税金等及与施工相关的一切费用在内的人民币报价，供应商充分考虑竞争性磋商文件的各项条款和所掌握的市场情况及本工程的实际，根据企业自身情况自主做出的竞争性磋商报价。 （6）本工程所发生的水电费按工程审定造价的5‰（其中电费为3‰，水费为2‰）从工程款项中一次性扣除。 （7）该工程中所用材料均须采用国内知名品牌，供应商在竞争性磋商响应文件中须注明品牌并随附相关产品检测报告。 （8）质保期：不少于2年，供应商可在此基础上根据企业自身情况自主承诺予以延长。 （9）本项目竞争性磋商文件中的工程量清单为预算量，施工过程中采购人有权根据具体情况增加、减少或取消施工工程量。供应商应充分理解实际施工中可能产生的变化，一旦中标，在施工过程中，不得因发包人调整工程量而向发包人提出综合单价调整要求，否则视为违约。 6.验收要求 竣工验收后一个月内，交竣工图及资料文件二套，费用由承包人自理。档案归档、组卷标准执行以下标准：《建筑装饰装修工程质量验收标准》（GB50210-2018）。竣工时间以发包人组织的竣工验收合格日期为准。工程竣工验收后，除维修点工作人员以及经发包人同意保留的维修点用房外，承包人的施工员、材料、设备等必须在10天内全部撤离现场。 7.付款方式 前期无预付款项，资金自筹；项目竣工验收、审计结算后支付至审计金额的100%。 工程整体质保2年，在工程竣工验收合格后质保期满2年。 付款前，承包人须提供合法合规的增值税发票（税率按本合同价款后的约定），否则，发包人有权拒绝支付任何款项。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列入严重违法失信企业名单（黑名单）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供应商应授权合法的人员参加本项目竞争性磋商会议全过程；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参加本项目的供应商应具备建设行政主管部门颁发合法有效的建筑装修装饰工程专业承包二级（含）及以上资质，且须具备合法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供应商拟派项目经理资质和专业要求</w:t>
            </w:r>
          </w:p>
        </w:tc>
        <w:tc>
          <w:tcPr>
            <w:tcW w:type="dxa" w:w="3322"/>
          </w:tcPr>
          <w:p>
            <w:pPr>
              <w:pStyle w:val="null3"/>
            </w:pPr>
            <w:r>
              <w:rPr>
                <w:rFonts w:ascii="仿宋_GB2312" w:hAnsi="仿宋_GB2312" w:cs="仿宋_GB2312" w:eastAsia="仿宋_GB2312"/>
              </w:rPr>
              <w:t>供应商拟派项目经理资质和专业要求：参加本项目的供应商拟派项目经理具备合法有效的建筑工程专业注册建造师二级（含）及以上执业资格及安全生产考核合格证书（安全B证），且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供应商拟派项目经理备案</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本项目为专门面向中、小企业项目，供应商应为中型企业或小型企业或微型企业。</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应当与营业执照、资质证书、安全生产许可证一致，否则磋商小组应当将其响应文件作为无效处理。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响应函签字盖章</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每轮应当只能有一个有效报价，否则磋商小组应当将其响应文件作为无效处理。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工期唯一</w:t>
            </w:r>
          </w:p>
        </w:tc>
        <w:tc>
          <w:tcPr>
            <w:tcW w:type="dxa" w:w="3322"/>
          </w:tcPr>
          <w:p>
            <w:pPr>
              <w:pStyle w:val="null3"/>
            </w:pPr>
            <w:r>
              <w:rPr>
                <w:rFonts w:ascii="仿宋_GB2312" w:hAnsi="仿宋_GB2312" w:cs="仿宋_GB2312" w:eastAsia="仿宋_GB2312"/>
              </w:rPr>
              <w:t>工期供应商需在项目电子化交易系统中按要求填写《响应函》、《报价函》完成承诺并进行电子签章，否则磋商小组应当将其响应文件作为无效处理。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响应报价应当不超过竞争性磋商文件中规定的最高限价，否则磋商小组应当将其响应文件作为无效处理。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响应文件未发现法律、法规和竞争性磋商文件规定的其他无效情形，否则磋商小组应当将其响应文件作为无效处理。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不同供应商的响应文件是否由同一单位或者个人编制</w:t>
            </w:r>
          </w:p>
        </w:tc>
        <w:tc>
          <w:tcPr>
            <w:tcW w:type="dxa" w:w="3322"/>
          </w:tcPr>
          <w:p>
            <w:pPr>
              <w:pStyle w:val="null3"/>
            </w:pPr>
            <w:r>
              <w:rPr>
                <w:rFonts w:ascii="仿宋_GB2312" w:hAnsi="仿宋_GB2312" w:cs="仿宋_GB2312" w:eastAsia="仿宋_GB2312"/>
              </w:rPr>
              <w:t>不同供应商的响应文件不得由同一单位或者个人编制，否则磋商小组应当将其响应文件作为无效处理。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不同供应商不得委托同一单位或者个人办理投标事宜，否则磋商小组应当将其响应文件作为无效处理。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不同供应商的响应文件载明的项目管理成员或者联系人员是否为同一人</w:t>
            </w:r>
          </w:p>
        </w:tc>
        <w:tc>
          <w:tcPr>
            <w:tcW w:type="dxa" w:w="3322"/>
          </w:tcPr>
          <w:p>
            <w:pPr>
              <w:pStyle w:val="null3"/>
            </w:pPr>
            <w:r>
              <w:rPr>
                <w:rFonts w:ascii="仿宋_GB2312" w:hAnsi="仿宋_GB2312" w:cs="仿宋_GB2312" w:eastAsia="仿宋_GB2312"/>
              </w:rPr>
              <w:t>不同供应商的响应文件载明的项目管理成员或者联系人员不得为同一人，否则磋商小组应当将其响应文件作为无效处理。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不同供应商的响应文件是否异常一致或者响应报价呈规律性差异</w:t>
            </w:r>
          </w:p>
        </w:tc>
        <w:tc>
          <w:tcPr>
            <w:tcW w:type="dxa" w:w="3322"/>
          </w:tcPr>
          <w:p>
            <w:pPr>
              <w:pStyle w:val="null3"/>
            </w:pPr>
            <w:r>
              <w:rPr>
                <w:rFonts w:ascii="仿宋_GB2312" w:hAnsi="仿宋_GB2312" w:cs="仿宋_GB2312" w:eastAsia="仿宋_GB2312"/>
              </w:rPr>
              <w:t>不同供应商的响应文件未发现异常-致或者响应报价呈规律性差异，否则磋商小组应当将其响应文件作为无效处理。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不同供应商的磋商响应保证金是否从同一单位或者个人的账户转出</w:t>
            </w:r>
          </w:p>
        </w:tc>
        <w:tc>
          <w:tcPr>
            <w:tcW w:type="dxa" w:w="3322"/>
          </w:tcPr>
          <w:p>
            <w:pPr>
              <w:pStyle w:val="null3"/>
            </w:pPr>
            <w:r>
              <w:rPr>
                <w:rFonts w:ascii="仿宋_GB2312" w:hAnsi="仿宋_GB2312" w:cs="仿宋_GB2312" w:eastAsia="仿宋_GB2312"/>
              </w:rPr>
              <w:t>不同供应商的磋商响应保证金不得从同一单位或者个人的账户转出，否则磋商小组应当将其响应文件作为无效处理。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供应商提供自2022年6月至今的类似工程业绩证明材料，每提供1项得2分，此项最多得10分。 备注：类似业绩指粉刷项目或包含粉刷项目内容的业绩，业绩证明材料以供应商提供的复印件或扫描件加盖供应商公章为准。时间以合同签订时间所体现的时间为准。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具有本科及以上学历的得5分，专科学历的得3分，其他情况不得分。 评审依据：评审时以供应商提供的拟派施工总承包项目经理的最高学历证书原件的扫描件为准并加盖供应商公章。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供应商拟派项目经理简历表.docx</w:t>
            </w:r>
          </w:p>
        </w:tc>
      </w:tr>
      <w:tr>
        <w:tc>
          <w:tcPr>
            <w:tcW w:type="dxa" w:w="831"/>
            <w:vMerge/>
          </w:tcPr>
          <w:p/>
        </w:tc>
        <w:tc>
          <w:tcPr>
            <w:tcW w:type="dxa" w:w="1661"/>
          </w:tcPr>
          <w:p>
            <w:pPr>
              <w:pStyle w:val="null3"/>
            </w:pPr>
            <w:r>
              <w:rPr>
                <w:rFonts w:ascii="仿宋_GB2312" w:hAnsi="仿宋_GB2312" w:cs="仿宋_GB2312" w:eastAsia="仿宋_GB2312"/>
              </w:rPr>
              <w:t>施工组织方案1</w:t>
            </w:r>
          </w:p>
        </w:tc>
        <w:tc>
          <w:tcPr>
            <w:tcW w:type="dxa" w:w="2492"/>
          </w:tcPr>
          <w:p>
            <w:pPr>
              <w:pStyle w:val="null3"/>
            </w:pPr>
            <w:r>
              <w:rPr>
                <w:rFonts w:ascii="仿宋_GB2312" w:hAnsi="仿宋_GB2312" w:cs="仿宋_GB2312" w:eastAsia="仿宋_GB2312"/>
              </w:rPr>
              <w:t>根据供应商针对本项目特点制定的施工方案进行评审: 方案科学合理、满足项目要求，合理性、针对性强的得3.1-5分； 方案有一定的可行性，基本满足项目需求，稍有欠缺的得1.1-3分； 方案的合理性、针对性差，简单粗略的0.1-1分；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施工组织方案2</w:t>
            </w:r>
          </w:p>
        </w:tc>
        <w:tc>
          <w:tcPr>
            <w:tcW w:type="dxa" w:w="2492"/>
          </w:tcPr>
          <w:p>
            <w:pPr>
              <w:pStyle w:val="null3"/>
            </w:pPr>
            <w:r>
              <w:rPr>
                <w:rFonts w:ascii="仿宋_GB2312" w:hAnsi="仿宋_GB2312" w:cs="仿宋_GB2312" w:eastAsia="仿宋_GB2312"/>
              </w:rPr>
              <w:t>根据供应商针对本项目制定确保工程质量的技术组织措施进行评审： 组织措施科学合理、满足项目要求, 合理性、针对性强的得3.1-5分；组织措施有一定的可行性，基本满足项目需求，稍有欠缺的得1.1-3分； 组织措施的合理性、针对性差，简单粗略的0.1-1分； 未提供组织措施的得0分。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施工组织方案3</w:t>
            </w:r>
          </w:p>
        </w:tc>
        <w:tc>
          <w:tcPr>
            <w:tcW w:type="dxa" w:w="2492"/>
          </w:tcPr>
          <w:p>
            <w:pPr>
              <w:pStyle w:val="null3"/>
            </w:pPr>
            <w:r>
              <w:rPr>
                <w:rFonts w:ascii="仿宋_GB2312" w:hAnsi="仿宋_GB2312" w:cs="仿宋_GB2312" w:eastAsia="仿宋_GB2312"/>
              </w:rPr>
              <w:t>根据供应商针对本项目制定确保安全生产的技术组织措施： 组织措施科学合理、满足项目要求，合理性、针对性强的得3.1-5分；组织措 施有一定的可行性，基本满足项目需求，稍有欠缺的得1.1-3分；组织措施的合理性、针对性差，简单粗略的0.1-1分；未提供组织措施的得0分。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施工组织方案4</w:t>
            </w:r>
          </w:p>
        </w:tc>
        <w:tc>
          <w:tcPr>
            <w:tcW w:type="dxa" w:w="2492"/>
          </w:tcPr>
          <w:p>
            <w:pPr>
              <w:pStyle w:val="null3"/>
            </w:pPr>
            <w:r>
              <w:rPr>
                <w:rFonts w:ascii="仿宋_GB2312" w:hAnsi="仿宋_GB2312" w:cs="仿宋_GB2312" w:eastAsia="仿宋_GB2312"/>
              </w:rPr>
              <w:t>根据供应商针对本项目制定确保文明施工的技术组织措施及环境保护措施进行评审： 组织措施科学合理、满足项目要求，合理性、针对性强的得3.1-5分； 组织措施有一定的可行性，基本满足项目需求，稍有欠缺的得1.1-3分； 组织措施的合理性、针对性差，简单粗略的0.1-1分； 未提供组织措施的得0分。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施工组织方案5</w:t>
            </w:r>
          </w:p>
        </w:tc>
        <w:tc>
          <w:tcPr>
            <w:tcW w:type="dxa" w:w="2492"/>
          </w:tcPr>
          <w:p>
            <w:pPr>
              <w:pStyle w:val="null3"/>
            </w:pPr>
            <w:r>
              <w:rPr>
                <w:rFonts w:ascii="仿宋_GB2312" w:hAnsi="仿宋_GB2312" w:cs="仿宋_GB2312" w:eastAsia="仿宋_GB2312"/>
              </w:rPr>
              <w:t>根据供应商针对本项目制定确保工期的技术组织措施进行评审： 组织措施科学合理、满足项目要求，合理性、针对性强的得3.1-5分； 组织措施有一定的可行性，基本满足项目需求 , 稍有欠缺的得1.1-3分； 组织措 施的合理性、针对性差，简单粗略的0.1-1分； 未提供组织措施的得0分。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施工组织方案6</w:t>
            </w:r>
          </w:p>
        </w:tc>
        <w:tc>
          <w:tcPr>
            <w:tcW w:type="dxa" w:w="2492"/>
          </w:tcPr>
          <w:p>
            <w:pPr>
              <w:pStyle w:val="null3"/>
            </w:pPr>
            <w:r>
              <w:rPr>
                <w:rFonts w:ascii="仿宋_GB2312" w:hAnsi="仿宋_GB2312" w:cs="仿宋_GB2312" w:eastAsia="仿宋_GB2312"/>
              </w:rPr>
              <w:t>根据供应商针对本项目制定除项目经理、技术负责人以外的人员劳动力安排计划进行评审： 计划科学合理、满足项目要求，合理性、针对性强的得3.1-5分； 计划有一定的可行性，基本满足项目需求，稍有欠缺的得1.1-3分； 计划的合理性、针对性差，简单粗略的0.1-1分;未提供的得0分。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施工组织方案7</w:t>
            </w:r>
          </w:p>
        </w:tc>
        <w:tc>
          <w:tcPr>
            <w:tcW w:type="dxa" w:w="2492"/>
          </w:tcPr>
          <w:p>
            <w:pPr>
              <w:pStyle w:val="null3"/>
            </w:pPr>
            <w:r>
              <w:rPr>
                <w:rFonts w:ascii="仿宋_GB2312" w:hAnsi="仿宋_GB2312" w:cs="仿宋_GB2312" w:eastAsia="仿宋_GB2312"/>
              </w:rPr>
              <w:t>根据供应商针对本项目制定的施工机械配备和材料投入计划： 计划科学合理、满足项目要求，合理性、针对性强的得3.1-5分； 计划有一定的可行性，基本满足项目需求，稍有欠缺的得1.1-3分； 计划的合理性、针对性差，简单粗略的0.1-1分；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施工组织方案8</w:t>
            </w:r>
          </w:p>
        </w:tc>
        <w:tc>
          <w:tcPr>
            <w:tcW w:type="dxa" w:w="2492"/>
          </w:tcPr>
          <w:p>
            <w:pPr>
              <w:pStyle w:val="null3"/>
            </w:pPr>
            <w:r>
              <w:rPr>
                <w:rFonts w:ascii="仿宋_GB2312" w:hAnsi="仿宋_GB2312" w:cs="仿宋_GB2312" w:eastAsia="仿宋_GB2312"/>
              </w:rPr>
              <w:t>根据供应商针对本项目制定的施工进度表或施工网络图进行评审： 进度表或网格图科学合理、满足项目要求，合理性、针对性强的得3.1-5分；进度表或网格图科学合理、基本项目要求，具有一定的合理性、针对性得3.1-5分； 进度表或网格图合理性、针对性差，简单粗略的得0.1-1分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施工组织方案9</w:t>
            </w:r>
          </w:p>
        </w:tc>
        <w:tc>
          <w:tcPr>
            <w:tcW w:type="dxa" w:w="2492"/>
          </w:tcPr>
          <w:p>
            <w:pPr>
              <w:pStyle w:val="null3"/>
            </w:pPr>
            <w:r>
              <w:rPr>
                <w:rFonts w:ascii="仿宋_GB2312" w:hAnsi="仿宋_GB2312" w:cs="仿宋_GB2312" w:eastAsia="仿宋_GB2312"/>
              </w:rPr>
              <w:t>根据供应商针对本项目特点制定的施工总平面布置图进行评审： 科学合理、满足项目要求，针对性强得3.1-5分； 具有一定的合理性、针对性得2.1-3分； 基本满足项目要求得0.1-2分；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施工组织方案10</w:t>
            </w:r>
          </w:p>
        </w:tc>
        <w:tc>
          <w:tcPr>
            <w:tcW w:type="dxa" w:w="2492"/>
          </w:tcPr>
          <w:p>
            <w:pPr>
              <w:pStyle w:val="null3"/>
            </w:pPr>
            <w:r>
              <w:rPr>
                <w:rFonts w:ascii="仿宋_GB2312" w:hAnsi="仿宋_GB2312" w:cs="仿宋_GB2312" w:eastAsia="仿宋_GB2312"/>
              </w:rPr>
              <w:t>根据供应商针对本项目特点提供新技术、新产品、新工艺、新材料应用、施工现场扬尘预防措施进行评审： 措施科学合理、满足项目要求，合理性、针对性强得3.1-5分； 措施有一定的可行性，基本满足项目要求，具有一定的合理性、针对性得2.1-3分； 措施基本可行，合理性、针对性较差的得0.1-2分；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根据供应商针对本项目制定售后服务方案，进行评审： 方案科学合理、满足项目要求，合理性、针对性强，达到甲方实际使用需求，及时解决突发性问题的得3.1-5分；方案有一定的可行性，合理性、针对性较强，基本满足项目需求的得1.1-3分，方案稍有欠缺，不能够及时解决突发性问题的得0.1-1分；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详见附件：供应商拟派项目经理简历表.docx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详见附件：施工组织方案.docx</w:t>
      </w:r>
    </w:p>
    <w:p>
      <w:pPr>
        <w:pStyle w:val="null3"/>
        <w:ind w:firstLine="960"/>
      </w:pPr>
      <w:r>
        <w:rPr>
          <w:rFonts w:ascii="仿宋_GB2312" w:hAnsi="仿宋_GB2312" w:cs="仿宋_GB2312" w:eastAsia="仿宋_GB2312"/>
        </w:rPr>
        <w:t>详见附件：售后服务.docx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详见附件：西北政法大学长安校区2025年毕业生宿舍粉刷项目.docx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