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85A79">
      <w:pPr>
        <w:spacing w:line="360" w:lineRule="auto"/>
        <w:jc w:val="center"/>
        <w:rPr>
          <w:sz w:val="24"/>
          <w:szCs w:val="24"/>
          <w:lang w:eastAsia="zh-CN"/>
        </w:rPr>
      </w:pPr>
    </w:p>
    <w:p w14:paraId="3CA31AF9">
      <w:pPr>
        <w:jc w:val="center"/>
        <w:rPr>
          <w:rFonts w:hint="eastAsia"/>
          <w:b/>
          <w:spacing w:val="-20"/>
          <w:sz w:val="44"/>
          <w:szCs w:val="44"/>
          <w:lang w:eastAsia="zh-CN"/>
        </w:rPr>
      </w:pPr>
      <w:r>
        <w:rPr>
          <w:rFonts w:hint="eastAsia"/>
          <w:b/>
          <w:spacing w:val="-20"/>
          <w:sz w:val="44"/>
          <w:szCs w:val="44"/>
          <w:lang w:eastAsia="zh-CN"/>
        </w:rPr>
        <w:t>陕西省2024年农村环境整治成效评估及农村生活污水处理设施运行情况调查评估项目</w:t>
      </w:r>
    </w:p>
    <w:p w14:paraId="1153CE8A">
      <w:pPr>
        <w:jc w:val="center"/>
        <w:rPr>
          <w:rFonts w:hint="default" w:eastAsia="宋体"/>
          <w:b/>
          <w:spacing w:val="-20"/>
          <w:sz w:val="44"/>
          <w:szCs w:val="44"/>
          <w:lang w:val="en-US" w:eastAsia="zh-CN"/>
        </w:rPr>
      </w:pPr>
      <w:r>
        <w:rPr>
          <w:rFonts w:hint="eastAsia"/>
          <w:b/>
          <w:spacing w:val="-20"/>
          <w:sz w:val="44"/>
          <w:szCs w:val="44"/>
          <w:lang w:val="en-US" w:eastAsia="zh-CN"/>
        </w:rPr>
        <w:t>（合同包</w:t>
      </w:r>
      <w:r>
        <w:rPr>
          <w:rFonts w:hint="eastAsia"/>
          <w:b/>
          <w:spacing w:val="-20"/>
          <w:sz w:val="44"/>
          <w:szCs w:val="44"/>
          <w:u w:val="single"/>
          <w:lang w:val="en-US" w:eastAsia="zh-CN"/>
        </w:rPr>
        <w:t xml:space="preserve">  </w:t>
      </w:r>
      <w:r>
        <w:rPr>
          <w:rFonts w:hint="eastAsia"/>
          <w:b/>
          <w:spacing w:val="-20"/>
          <w:sz w:val="44"/>
          <w:szCs w:val="44"/>
          <w:lang w:val="en-US" w:eastAsia="zh-CN"/>
        </w:rPr>
        <w:t>：</w:t>
      </w:r>
      <w:r>
        <w:rPr>
          <w:rFonts w:hint="eastAsia"/>
          <w:b/>
          <w:spacing w:val="-20"/>
          <w:sz w:val="44"/>
          <w:szCs w:val="44"/>
          <w:u w:val="single"/>
          <w:lang w:val="en-US" w:eastAsia="zh-CN"/>
        </w:rPr>
        <w:t xml:space="preserve">              </w:t>
      </w:r>
      <w:r>
        <w:rPr>
          <w:rFonts w:hint="eastAsia"/>
          <w:b/>
          <w:spacing w:val="-20"/>
          <w:sz w:val="44"/>
          <w:szCs w:val="44"/>
          <w:lang w:val="en-US" w:eastAsia="zh-CN"/>
        </w:rPr>
        <w:t>）</w:t>
      </w:r>
    </w:p>
    <w:p w14:paraId="2E5D87FC">
      <w:pPr>
        <w:jc w:val="center"/>
        <w:rPr>
          <w:b/>
          <w:spacing w:val="-20"/>
          <w:sz w:val="52"/>
          <w:szCs w:val="52"/>
          <w:lang w:eastAsia="zh-CN"/>
        </w:rPr>
      </w:pPr>
    </w:p>
    <w:p w14:paraId="5C892410">
      <w:pPr>
        <w:jc w:val="center"/>
        <w:rPr>
          <w:b/>
          <w:sz w:val="72"/>
          <w:szCs w:val="72"/>
          <w:lang w:eastAsia="zh-CN"/>
        </w:rPr>
      </w:pPr>
      <w:r>
        <w:rPr>
          <w:rFonts w:hint="eastAsia"/>
          <w:b/>
          <w:sz w:val="24"/>
          <w:szCs w:val="24"/>
          <w:lang w:eastAsia="zh-CN"/>
        </w:rPr>
        <w:t>（本格式条款供采购人和成交单位双方签订合同参考，采购人可根据项目的实际情况增减条款和内容）</w:t>
      </w:r>
    </w:p>
    <w:p w14:paraId="5CB0B2E5">
      <w:pPr>
        <w:jc w:val="center"/>
        <w:rPr>
          <w:b/>
          <w:sz w:val="52"/>
          <w:szCs w:val="52"/>
          <w:lang w:eastAsia="zh-CN"/>
        </w:rPr>
      </w:pPr>
    </w:p>
    <w:p w14:paraId="235C071C">
      <w:pPr>
        <w:jc w:val="center"/>
        <w:rPr>
          <w:b/>
          <w:sz w:val="52"/>
          <w:szCs w:val="52"/>
          <w:lang w:eastAsia="zh-CN"/>
        </w:rPr>
      </w:pPr>
    </w:p>
    <w:p w14:paraId="01CAFB97">
      <w:pPr>
        <w:jc w:val="center"/>
        <w:rPr>
          <w:b/>
          <w:sz w:val="52"/>
          <w:szCs w:val="52"/>
          <w:lang w:eastAsia="zh-CN"/>
        </w:rPr>
      </w:pPr>
      <w:r>
        <w:rPr>
          <w:rFonts w:hint="eastAsia"/>
          <w:b/>
          <w:sz w:val="52"/>
          <w:szCs w:val="52"/>
          <w:lang w:eastAsia="zh-CN"/>
        </w:rPr>
        <w:t>采 购 合 同</w:t>
      </w:r>
    </w:p>
    <w:p w14:paraId="5A0CF3E8">
      <w:pPr>
        <w:spacing w:line="360" w:lineRule="auto"/>
        <w:ind w:firstLine="2400" w:firstLineChars="800"/>
        <w:rPr>
          <w:sz w:val="24"/>
          <w:szCs w:val="24"/>
          <w:lang w:eastAsia="zh-CN"/>
        </w:rPr>
      </w:pPr>
      <w:r>
        <w:rPr>
          <w:rFonts w:hint="eastAsia"/>
          <w:sz w:val="30"/>
          <w:szCs w:val="30"/>
          <w:lang w:eastAsia="zh-CN"/>
        </w:rPr>
        <w:t xml:space="preserve">   项目编号：</w:t>
      </w:r>
    </w:p>
    <w:p w14:paraId="0ECA15DD">
      <w:pPr>
        <w:jc w:val="center"/>
        <w:rPr>
          <w:sz w:val="30"/>
          <w:szCs w:val="30"/>
          <w:lang w:eastAsia="zh-CN"/>
        </w:rPr>
      </w:pPr>
    </w:p>
    <w:p w14:paraId="22733AFE">
      <w:pPr>
        <w:jc w:val="center"/>
        <w:rPr>
          <w:sz w:val="30"/>
          <w:szCs w:val="30"/>
          <w:lang w:eastAsia="zh-CN"/>
        </w:rPr>
      </w:pPr>
    </w:p>
    <w:p w14:paraId="5B3BE720">
      <w:pPr>
        <w:jc w:val="center"/>
        <w:rPr>
          <w:sz w:val="30"/>
          <w:szCs w:val="30"/>
          <w:lang w:eastAsia="zh-CN"/>
        </w:rPr>
      </w:pPr>
    </w:p>
    <w:p w14:paraId="417A3908">
      <w:pPr>
        <w:rPr>
          <w:sz w:val="30"/>
          <w:szCs w:val="30"/>
          <w:lang w:eastAsia="zh-CN"/>
        </w:rPr>
      </w:pPr>
    </w:p>
    <w:p w14:paraId="083D76D6">
      <w:pPr>
        <w:rPr>
          <w:sz w:val="32"/>
          <w:szCs w:val="32"/>
          <w:lang w:eastAsia="zh-CN"/>
        </w:rPr>
      </w:pPr>
      <w:r>
        <w:rPr>
          <w:rFonts w:hint="eastAsia"/>
          <w:sz w:val="32"/>
          <w:szCs w:val="32"/>
          <w:lang w:eastAsia="zh-CN"/>
        </w:rPr>
        <w:t>甲  方：陕西省环境科学研究院</w:t>
      </w:r>
    </w:p>
    <w:p w14:paraId="6B848604">
      <w:pPr>
        <w:rPr>
          <w:sz w:val="32"/>
          <w:szCs w:val="32"/>
          <w:lang w:eastAsia="zh-CN"/>
        </w:rPr>
      </w:pPr>
    </w:p>
    <w:p w14:paraId="356E9E9A">
      <w:pPr>
        <w:rPr>
          <w:sz w:val="32"/>
          <w:szCs w:val="32"/>
          <w:lang w:eastAsia="zh-CN"/>
        </w:rPr>
      </w:pPr>
      <w:r>
        <w:rPr>
          <w:rFonts w:hint="eastAsia"/>
          <w:sz w:val="32"/>
          <w:szCs w:val="32"/>
          <w:lang w:eastAsia="zh-CN"/>
        </w:rPr>
        <w:t>乙  方：</w:t>
      </w:r>
    </w:p>
    <w:p w14:paraId="1242B9A4">
      <w:pPr>
        <w:rPr>
          <w:sz w:val="32"/>
          <w:szCs w:val="32"/>
          <w:lang w:eastAsia="zh-CN"/>
        </w:rPr>
      </w:pPr>
      <w:r>
        <w:rPr>
          <w:rFonts w:hint="eastAsia"/>
          <w:sz w:val="32"/>
          <w:szCs w:val="32"/>
          <w:lang w:eastAsia="zh-CN"/>
        </w:rPr>
        <w:t xml:space="preserve"> </w:t>
      </w:r>
    </w:p>
    <w:p w14:paraId="133F996F">
      <w:pPr>
        <w:jc w:val="center"/>
        <w:rPr>
          <w:b/>
          <w:sz w:val="36"/>
          <w:szCs w:val="36"/>
          <w:lang w:eastAsia="zh-CN"/>
        </w:rPr>
      </w:pPr>
      <w:r>
        <w:rPr>
          <w:rFonts w:hint="eastAsia"/>
          <w:sz w:val="32"/>
          <w:szCs w:val="32"/>
          <w:lang w:eastAsia="zh-CN"/>
        </w:rPr>
        <w:t>20   年  月</w:t>
      </w:r>
    </w:p>
    <w:p w14:paraId="5E87F698">
      <w:pPr>
        <w:adjustRightInd w:val="0"/>
        <w:snapToGrid w:val="0"/>
        <w:spacing w:line="384" w:lineRule="auto"/>
        <w:rPr>
          <w:rFonts w:cs="仿宋_GB2312"/>
          <w:bCs/>
          <w:sz w:val="24"/>
          <w:szCs w:val="24"/>
          <w:lang w:eastAsia="zh-CN"/>
        </w:rPr>
      </w:pPr>
      <w:r>
        <w:rPr>
          <w:b/>
          <w:szCs w:val="32"/>
          <w:lang w:eastAsia="zh-CN"/>
        </w:rPr>
        <w:br w:type="page"/>
      </w:r>
      <w:r>
        <w:rPr>
          <w:rFonts w:hint="eastAsia" w:cs="仿宋_GB2312"/>
          <w:bCs/>
          <w:sz w:val="24"/>
          <w:szCs w:val="24"/>
          <w:lang w:eastAsia="zh-CN"/>
        </w:rPr>
        <w:t>甲方（采购人）：</w:t>
      </w:r>
    </w:p>
    <w:p w14:paraId="7F2A295E">
      <w:pPr>
        <w:adjustRightInd w:val="0"/>
        <w:snapToGrid w:val="0"/>
        <w:spacing w:line="384" w:lineRule="auto"/>
        <w:rPr>
          <w:rFonts w:cs="仿宋_GB2312"/>
          <w:bCs/>
          <w:sz w:val="24"/>
          <w:szCs w:val="24"/>
          <w:lang w:eastAsia="zh-CN"/>
        </w:rPr>
      </w:pPr>
      <w:r>
        <w:rPr>
          <w:rFonts w:hint="eastAsia" w:cs="仿宋_GB2312"/>
          <w:bCs/>
          <w:sz w:val="24"/>
          <w:szCs w:val="24"/>
          <w:lang w:eastAsia="zh-CN"/>
        </w:rPr>
        <w:t>乙方（供应商）：</w:t>
      </w:r>
    </w:p>
    <w:p w14:paraId="6AEDE673">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u w:val="single"/>
          <w:lang w:eastAsia="zh-CN"/>
        </w:rPr>
        <w:t>（项目名称）</w:t>
      </w:r>
      <w:r>
        <w:rPr>
          <w:rFonts w:cs="仿宋_GB2312"/>
          <w:bCs/>
          <w:sz w:val="24"/>
          <w:szCs w:val="24"/>
          <w:u w:val="single"/>
          <w:lang w:eastAsia="zh-CN"/>
        </w:rPr>
        <w:t>(</w:t>
      </w:r>
      <w:r>
        <w:rPr>
          <w:rFonts w:hint="eastAsia" w:cs="仿宋_GB2312"/>
          <w:bCs/>
          <w:sz w:val="24"/>
          <w:szCs w:val="24"/>
          <w:u w:val="single"/>
          <w:lang w:eastAsia="zh-CN"/>
        </w:rPr>
        <w:t>项目编号：</w:t>
      </w:r>
      <w:r>
        <w:rPr>
          <w:rFonts w:cs="仿宋_GB2312"/>
          <w:bCs/>
          <w:sz w:val="24"/>
          <w:szCs w:val="24"/>
          <w:u w:val="single"/>
          <w:lang w:eastAsia="zh-CN"/>
        </w:rPr>
        <w:t>)</w:t>
      </w:r>
      <w:r>
        <w:rPr>
          <w:rFonts w:hint="eastAsia" w:cs="仿宋_GB2312"/>
          <w:bCs/>
          <w:sz w:val="24"/>
          <w:szCs w:val="24"/>
          <w:lang w:eastAsia="zh-CN"/>
        </w:rPr>
        <w:t>在</w:t>
      </w:r>
      <w:r>
        <w:rPr>
          <w:rFonts w:hint="eastAsia" w:cs="仿宋_GB2312"/>
          <w:bCs/>
          <w:sz w:val="24"/>
          <w:szCs w:val="24"/>
          <w:u w:val="single"/>
          <w:lang w:eastAsia="zh-CN"/>
        </w:rPr>
        <w:t xml:space="preserve">   </w:t>
      </w:r>
      <w:r>
        <w:rPr>
          <w:rFonts w:cs="仿宋_GB2312"/>
          <w:bCs/>
          <w:sz w:val="24"/>
          <w:szCs w:val="24"/>
          <w:u w:val="single"/>
          <w:lang w:eastAsia="zh-CN"/>
        </w:rPr>
        <w:t xml:space="preserve"> </w:t>
      </w:r>
      <w:r>
        <w:rPr>
          <w:rFonts w:hint="eastAsia" w:cs="仿宋_GB2312"/>
          <w:bCs/>
          <w:sz w:val="24"/>
          <w:szCs w:val="24"/>
          <w:u w:val="single"/>
          <w:lang w:eastAsia="zh-CN"/>
        </w:rPr>
        <w:t xml:space="preserve">  </w:t>
      </w:r>
      <w:r>
        <w:rPr>
          <w:rFonts w:hint="eastAsia" w:cs="仿宋_GB2312"/>
          <w:bCs/>
          <w:sz w:val="24"/>
          <w:szCs w:val="24"/>
          <w:lang w:eastAsia="zh-CN"/>
        </w:rPr>
        <w:t>组织竞争性磋商，</w:t>
      </w:r>
      <w:r>
        <w:rPr>
          <w:rFonts w:cs="仿宋_GB2312"/>
          <w:bCs/>
          <w:sz w:val="24"/>
          <w:szCs w:val="24"/>
          <w:u w:val="single"/>
          <w:lang w:eastAsia="zh-CN"/>
        </w:rPr>
        <w:t>(</w:t>
      </w:r>
      <w:r>
        <w:rPr>
          <w:rFonts w:hint="eastAsia" w:cs="仿宋_GB2312"/>
          <w:bCs/>
          <w:sz w:val="24"/>
          <w:szCs w:val="24"/>
          <w:u w:val="single"/>
          <w:lang w:eastAsia="zh-CN"/>
        </w:rPr>
        <w:t>以下简称“甲方”</w:t>
      </w:r>
      <w:r>
        <w:rPr>
          <w:rFonts w:cs="仿宋_GB2312"/>
          <w:bCs/>
          <w:sz w:val="24"/>
          <w:szCs w:val="24"/>
          <w:u w:val="single"/>
          <w:lang w:eastAsia="zh-CN"/>
        </w:rPr>
        <w:t>)</w:t>
      </w:r>
      <w:r>
        <w:rPr>
          <w:rFonts w:hint="eastAsia" w:cs="仿宋_GB2312"/>
          <w:bCs/>
          <w:sz w:val="24"/>
          <w:szCs w:val="24"/>
          <w:lang w:eastAsia="zh-CN"/>
        </w:rPr>
        <w:t>确定</w:t>
      </w:r>
      <w:r>
        <w:rPr>
          <w:rFonts w:hint="eastAsia" w:cs="仿宋_GB2312"/>
          <w:bCs/>
          <w:sz w:val="24"/>
          <w:szCs w:val="24"/>
          <w:u w:val="single"/>
          <w:lang w:eastAsia="zh-CN"/>
        </w:rPr>
        <w:t>（以下简称“乙方”）</w:t>
      </w:r>
      <w:r>
        <w:rPr>
          <w:rFonts w:hint="eastAsia" w:cs="仿宋_GB2312"/>
          <w:bCs/>
          <w:sz w:val="24"/>
          <w:szCs w:val="24"/>
          <w:lang w:eastAsia="zh-CN"/>
        </w:rPr>
        <w:t>为</w:t>
      </w:r>
      <w:r>
        <w:rPr>
          <w:rFonts w:hint="eastAsia" w:cs="仿宋_GB2312"/>
          <w:bCs/>
          <w:sz w:val="24"/>
          <w:szCs w:val="24"/>
          <w:u w:val="none"/>
          <w:lang w:eastAsia="zh-CN"/>
        </w:rPr>
        <w:t>本项目</w:t>
      </w:r>
      <w:r>
        <w:rPr>
          <w:rFonts w:hint="eastAsia" w:cs="仿宋_GB2312"/>
          <w:bCs/>
          <w:sz w:val="24"/>
          <w:szCs w:val="24"/>
          <w:lang w:eastAsia="zh-CN"/>
        </w:rPr>
        <w:t>成交供应商。</w:t>
      </w:r>
    </w:p>
    <w:p w14:paraId="5AB137B6">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依据《中华人民共和国民法典》和《中华人民共和国政府采购法》，经双方协商按下述条款和条件签署本合同。</w:t>
      </w:r>
    </w:p>
    <w:p w14:paraId="75B55CC9">
      <w:pPr>
        <w:adjustRightInd w:val="0"/>
        <w:snapToGrid w:val="0"/>
        <w:spacing w:line="384" w:lineRule="auto"/>
        <w:ind w:firstLine="482" w:firstLineChars="200"/>
        <w:rPr>
          <w:rFonts w:cs="仿宋_GB2312"/>
          <w:b/>
          <w:bCs/>
          <w:sz w:val="24"/>
          <w:szCs w:val="24"/>
          <w:lang w:eastAsia="zh-CN"/>
        </w:rPr>
      </w:pPr>
      <w:r>
        <w:rPr>
          <w:rFonts w:hint="eastAsia" w:cs="仿宋_GB2312"/>
          <w:b/>
          <w:bCs/>
          <w:sz w:val="24"/>
          <w:szCs w:val="24"/>
          <w:lang w:eastAsia="zh-CN"/>
        </w:rPr>
        <w:t>一、合同价款</w:t>
      </w:r>
    </w:p>
    <w:p w14:paraId="30B11E18">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（一）合同总价款为人民币（大写</w:t>
      </w:r>
      <w:r>
        <w:rPr>
          <w:rFonts w:hint="eastAsia" w:cs="仿宋_GB2312"/>
          <w:bCs/>
          <w:sz w:val="24"/>
          <w:szCs w:val="24"/>
          <w:u w:val="single"/>
          <w:lang w:eastAsia="zh-CN"/>
        </w:rPr>
        <w:t xml:space="preserve">         </w:t>
      </w:r>
      <w:r>
        <w:rPr>
          <w:rFonts w:hint="eastAsia" w:cs="仿宋_GB2312"/>
          <w:bCs/>
          <w:sz w:val="24"/>
          <w:szCs w:val="24"/>
          <w:lang w:eastAsia="zh-CN"/>
        </w:rPr>
        <w:t>）（¥</w:t>
      </w:r>
      <w:r>
        <w:rPr>
          <w:rFonts w:hint="eastAsia" w:cs="仿宋_GB2312"/>
          <w:bCs/>
          <w:sz w:val="24"/>
          <w:szCs w:val="24"/>
          <w:u w:val="single"/>
          <w:lang w:eastAsia="zh-CN"/>
        </w:rPr>
        <w:t xml:space="preserve">         </w:t>
      </w:r>
      <w:r>
        <w:rPr>
          <w:rFonts w:hint="eastAsia" w:cs="仿宋_GB2312"/>
          <w:bCs/>
          <w:sz w:val="24"/>
          <w:szCs w:val="24"/>
          <w:lang w:eastAsia="zh-CN"/>
        </w:rPr>
        <w:t>）。</w:t>
      </w:r>
    </w:p>
    <w:p w14:paraId="588FD641">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（二）合同总价是指为本次服务工作所需的全部费用。</w:t>
      </w:r>
    </w:p>
    <w:p w14:paraId="3A95D271">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（三）合同总价一次性包死，不受市场价格变化因素的影响。</w:t>
      </w:r>
    </w:p>
    <w:p w14:paraId="59125B95">
      <w:pPr>
        <w:adjustRightInd w:val="0"/>
        <w:snapToGrid w:val="0"/>
        <w:spacing w:line="384" w:lineRule="auto"/>
        <w:ind w:firstLine="482" w:firstLineChars="200"/>
        <w:rPr>
          <w:rFonts w:cs="仿宋_GB2312"/>
          <w:b/>
          <w:bCs/>
          <w:sz w:val="24"/>
          <w:szCs w:val="24"/>
          <w:lang w:eastAsia="zh-CN"/>
        </w:rPr>
      </w:pPr>
      <w:r>
        <w:rPr>
          <w:rFonts w:hint="eastAsia" w:cs="仿宋_GB2312"/>
          <w:b/>
          <w:bCs/>
          <w:sz w:val="24"/>
          <w:szCs w:val="24"/>
          <w:lang w:eastAsia="zh-CN"/>
        </w:rPr>
        <w:t>二、款项结算</w:t>
      </w:r>
    </w:p>
    <w:p w14:paraId="55DA9772">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（一）合同款的支付：</w:t>
      </w:r>
    </w:p>
    <w:p w14:paraId="3641C447">
      <w:pPr>
        <w:adjustRightInd w:val="0"/>
        <w:snapToGrid w:val="0"/>
        <w:spacing w:line="384" w:lineRule="auto"/>
        <w:ind w:firstLine="480" w:firstLineChars="200"/>
        <w:rPr>
          <w:rFonts w:hint="eastAsia" w:cs="仿宋_GB2312"/>
          <w:bCs/>
          <w:sz w:val="24"/>
          <w:szCs w:val="24"/>
          <w:lang w:eastAsia="zh-CN"/>
        </w:rPr>
      </w:pPr>
      <w:r>
        <w:rPr>
          <w:rFonts w:hint="eastAsia" w:cs="仿宋_GB2312"/>
          <w:bCs/>
          <w:sz w:val="24"/>
          <w:szCs w:val="24"/>
          <w:lang w:val="en-US" w:eastAsia="zh-CN"/>
        </w:rPr>
        <w:t>1、</w:t>
      </w:r>
      <w:r>
        <w:rPr>
          <w:rFonts w:hint="eastAsia" w:cs="仿宋_GB2312"/>
          <w:bCs/>
          <w:sz w:val="24"/>
          <w:szCs w:val="24"/>
          <w:lang w:eastAsia="zh-CN"/>
        </w:rPr>
        <w:t>合同签订后，在付款前，必须开具全额发票给甲方，达到付款条件起15日内，支付合同总金额的50.00%。</w:t>
      </w:r>
    </w:p>
    <w:p w14:paraId="64779376">
      <w:pPr>
        <w:adjustRightInd w:val="0"/>
        <w:snapToGrid w:val="0"/>
        <w:spacing w:line="384" w:lineRule="auto"/>
        <w:ind w:firstLine="480" w:firstLineChars="200"/>
        <w:rPr>
          <w:rFonts w:hint="eastAsia" w:cs="仿宋_GB2312"/>
          <w:bCs/>
          <w:sz w:val="24"/>
          <w:szCs w:val="24"/>
          <w:lang w:eastAsia="zh-CN"/>
        </w:rPr>
      </w:pPr>
      <w:r>
        <w:rPr>
          <w:rFonts w:hint="eastAsia" w:cs="仿宋_GB2312"/>
          <w:bCs/>
          <w:sz w:val="24"/>
          <w:szCs w:val="24"/>
          <w:lang w:val="en-US" w:eastAsia="zh-CN"/>
        </w:rPr>
        <w:t>2、</w:t>
      </w:r>
      <w:r>
        <w:rPr>
          <w:rFonts w:hint="eastAsia" w:cs="仿宋_GB2312"/>
          <w:bCs/>
          <w:sz w:val="24"/>
          <w:szCs w:val="24"/>
          <w:lang w:eastAsia="zh-CN"/>
        </w:rPr>
        <w:t>完成现场调查评估后，达到付款条件起15日内，支付合同总金额的30.00%。</w:t>
      </w:r>
    </w:p>
    <w:p w14:paraId="59C008EE">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val="en-US" w:eastAsia="zh-CN"/>
        </w:rPr>
        <w:t>3、</w:t>
      </w:r>
      <w:r>
        <w:rPr>
          <w:rFonts w:hint="eastAsia" w:cs="仿宋_GB2312"/>
          <w:bCs/>
          <w:sz w:val="24"/>
          <w:szCs w:val="24"/>
          <w:lang w:eastAsia="zh-CN"/>
        </w:rPr>
        <w:t>通过甲方组织的项目验收后，达到付款条件起15日内，支付合同总金额的20.00%。</w:t>
      </w:r>
    </w:p>
    <w:p w14:paraId="3BF1E657">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（二）支付方式：银行转账。</w:t>
      </w:r>
    </w:p>
    <w:p w14:paraId="663A0AB7">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（三）结算方式：由监督机构负责结算，乙方开具合同总价数的全额发票交甲方负责部门。</w:t>
      </w:r>
    </w:p>
    <w:p w14:paraId="0BBCFCC4">
      <w:pPr>
        <w:adjustRightInd w:val="0"/>
        <w:snapToGrid w:val="0"/>
        <w:spacing w:line="384" w:lineRule="auto"/>
        <w:ind w:firstLine="482" w:firstLineChars="200"/>
        <w:rPr>
          <w:rFonts w:cs="仿宋_GB2312"/>
          <w:bCs/>
          <w:sz w:val="24"/>
          <w:szCs w:val="24"/>
          <w:lang w:eastAsia="zh-CN"/>
        </w:rPr>
      </w:pPr>
      <w:r>
        <w:rPr>
          <w:rFonts w:hint="eastAsia" w:cs="仿宋_GB2312"/>
          <w:b/>
          <w:sz w:val="24"/>
          <w:szCs w:val="24"/>
          <w:lang w:eastAsia="zh-CN"/>
        </w:rPr>
        <w:t>三、服务地点、服务期限</w:t>
      </w:r>
    </w:p>
    <w:p w14:paraId="053D07C6">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（一）服务地点：采购人指定地点。</w:t>
      </w:r>
    </w:p>
    <w:p w14:paraId="61B9307A">
      <w:pPr>
        <w:adjustRightInd w:val="0"/>
        <w:snapToGrid w:val="0"/>
        <w:spacing w:line="384" w:lineRule="auto"/>
        <w:ind w:firstLine="480" w:firstLineChars="200"/>
        <w:rPr>
          <w:bCs/>
          <w:sz w:val="24"/>
          <w:szCs w:val="24"/>
          <w:lang w:eastAsia="zh-CN"/>
        </w:rPr>
      </w:pPr>
      <w:r>
        <w:rPr>
          <w:rFonts w:hint="eastAsia" w:cs="仿宋_GB2312"/>
          <w:bCs/>
          <w:sz w:val="24"/>
          <w:szCs w:val="24"/>
          <w:lang w:eastAsia="zh-CN"/>
        </w:rPr>
        <w:t>（二）服务期限：</w:t>
      </w:r>
      <w:r>
        <w:rPr>
          <w:rFonts w:hint="eastAsia"/>
          <w:sz w:val="24"/>
          <w:szCs w:val="24"/>
          <w:lang w:eastAsia="zh-CN"/>
        </w:rPr>
        <w:t>自合同签订之日起</w:t>
      </w:r>
      <w:r>
        <w:rPr>
          <w:rFonts w:hint="eastAsia"/>
          <w:sz w:val="24"/>
          <w:szCs w:val="24"/>
          <w:lang w:val="en-US" w:eastAsia="zh-CN"/>
        </w:rPr>
        <w:t>180</w:t>
      </w:r>
      <w:r>
        <w:rPr>
          <w:rFonts w:hint="eastAsia"/>
          <w:sz w:val="24"/>
          <w:szCs w:val="24"/>
          <w:lang w:eastAsia="zh-CN"/>
        </w:rPr>
        <w:t>日。</w:t>
      </w:r>
    </w:p>
    <w:p w14:paraId="28285F00">
      <w:pPr>
        <w:adjustRightInd w:val="0"/>
        <w:snapToGrid w:val="0"/>
        <w:spacing w:line="384" w:lineRule="auto"/>
        <w:ind w:firstLine="482" w:firstLineChars="200"/>
        <w:rPr>
          <w:rFonts w:cs="仿宋_GB2312"/>
          <w:b/>
          <w:sz w:val="24"/>
          <w:szCs w:val="24"/>
          <w:lang w:eastAsia="zh-CN"/>
        </w:rPr>
      </w:pPr>
      <w:r>
        <w:rPr>
          <w:rFonts w:hint="eastAsia" w:cs="仿宋_GB2312"/>
          <w:b/>
          <w:sz w:val="24"/>
          <w:szCs w:val="24"/>
          <w:lang w:eastAsia="zh-CN"/>
        </w:rPr>
        <w:t>四、验收时间及依据</w:t>
      </w:r>
    </w:p>
    <w:p w14:paraId="7638B67B">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（一）竞争性磋商文件、竞争性磋商响应文件；</w:t>
      </w:r>
    </w:p>
    <w:p w14:paraId="66BB5ABA">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（二）本合同及附件文本；</w:t>
      </w:r>
    </w:p>
    <w:p w14:paraId="0CD879A1">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（三）合同签订时国家及行业现行的标准和技术规范。</w:t>
      </w:r>
    </w:p>
    <w:p w14:paraId="421291B8">
      <w:pPr>
        <w:adjustRightInd w:val="0"/>
        <w:snapToGrid w:val="0"/>
        <w:spacing w:line="384" w:lineRule="auto"/>
        <w:ind w:firstLine="482" w:firstLineChars="200"/>
        <w:rPr>
          <w:rFonts w:cs="仿宋_GB2312"/>
          <w:b/>
          <w:bCs/>
          <w:sz w:val="24"/>
          <w:szCs w:val="24"/>
          <w:lang w:eastAsia="zh-CN"/>
        </w:rPr>
      </w:pPr>
      <w:r>
        <w:rPr>
          <w:rFonts w:hint="eastAsia" w:cs="仿宋_GB2312"/>
          <w:b/>
          <w:bCs/>
          <w:sz w:val="24"/>
          <w:szCs w:val="24"/>
          <w:lang w:eastAsia="zh-CN"/>
        </w:rPr>
        <w:t>五</w:t>
      </w:r>
      <w:r>
        <w:rPr>
          <w:rFonts w:cs="仿宋_GB2312"/>
          <w:b/>
          <w:bCs/>
          <w:sz w:val="24"/>
          <w:szCs w:val="24"/>
          <w:lang w:eastAsia="zh-CN"/>
        </w:rPr>
        <w:t>、</w:t>
      </w:r>
      <w:r>
        <w:rPr>
          <w:rFonts w:hint="eastAsia" w:cs="仿宋_GB2312"/>
          <w:b/>
          <w:bCs/>
          <w:sz w:val="24"/>
          <w:szCs w:val="24"/>
          <w:lang w:eastAsia="zh-CN"/>
        </w:rPr>
        <w:t>其他要求</w:t>
      </w:r>
    </w:p>
    <w:p w14:paraId="1BD38BE5">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1、甲方可以要求乙方对相关人员举行相关调研内容的培训；</w:t>
      </w:r>
    </w:p>
    <w:p w14:paraId="6BB9EA74">
      <w:pPr>
        <w:adjustRightInd w:val="0"/>
        <w:snapToGrid w:val="0"/>
        <w:spacing w:line="384" w:lineRule="auto"/>
        <w:ind w:firstLine="480" w:firstLineChars="200"/>
        <w:rPr>
          <w:rFonts w:cs="仿宋_GB2312"/>
          <w:bCs/>
          <w:sz w:val="24"/>
          <w:szCs w:val="24"/>
          <w:lang w:eastAsia="zh-CN"/>
        </w:rPr>
      </w:pPr>
      <w:r>
        <w:rPr>
          <w:rFonts w:cs="仿宋_GB2312"/>
          <w:bCs/>
          <w:sz w:val="24"/>
          <w:szCs w:val="24"/>
          <w:lang w:eastAsia="zh-CN"/>
        </w:rPr>
        <w:t>2</w:t>
      </w:r>
      <w:r>
        <w:rPr>
          <w:rFonts w:hint="eastAsia" w:cs="仿宋_GB2312"/>
          <w:bCs/>
          <w:sz w:val="24"/>
          <w:szCs w:val="24"/>
          <w:lang w:eastAsia="zh-CN"/>
        </w:rPr>
        <w:t>、乙方要配合甲方的技术修改要求，提供技术答疑，按照要求提供技术性较强的调研报告。工作要及时开展，不能影响项目进度。</w:t>
      </w:r>
    </w:p>
    <w:p w14:paraId="7A1088F1">
      <w:pPr>
        <w:adjustRightInd w:val="0"/>
        <w:snapToGrid w:val="0"/>
        <w:spacing w:line="384" w:lineRule="auto"/>
        <w:ind w:firstLine="482" w:firstLineChars="200"/>
        <w:rPr>
          <w:rFonts w:cs="仿宋_GB2312"/>
          <w:bCs/>
          <w:sz w:val="24"/>
          <w:szCs w:val="24"/>
          <w:lang w:eastAsia="zh-CN"/>
        </w:rPr>
      </w:pPr>
      <w:r>
        <w:rPr>
          <w:rFonts w:hint="eastAsia" w:cs="仿宋_GB2312"/>
          <w:b/>
          <w:bCs/>
          <w:sz w:val="24"/>
          <w:szCs w:val="24"/>
          <w:lang w:eastAsia="zh-CN"/>
        </w:rPr>
        <w:t>六、责任与义务</w:t>
      </w:r>
    </w:p>
    <w:p w14:paraId="310398FB">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（一）乙方满足甲方人数和服务质量要求，经甲方与乙方双方负责人确认，对达不到本项目采购要求所述条件要求的人员进行更换。</w:t>
      </w:r>
    </w:p>
    <w:p w14:paraId="7305D66E">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二）投标报价应是乙方正确、全面完成竞争性磋商响应文件所述全部工作内容的全部报酬，不受市场价格变化等因素的影响，乙方不得以任何理由变更投标报价。所有根据合同或其他原因由乙方支付的税金和其他应缴纳的费用，以及利润等都应包括在乙方提交的投标报价中，乙方不得要求甲方在报价之外支付其他任何费用。由于报价填报不完整、不清楚或存在其他任何失误，所导致的任何不利后果均应当由乙方自行承担。</w:t>
      </w:r>
    </w:p>
    <w:p w14:paraId="1A5D3056">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（三）合同有效期内，投标报价不因市场因素、政府政策调整、费率调整和税收变化等而作任何调整，乙方应在投标时充分考虑到各种风险因素。</w:t>
      </w:r>
    </w:p>
    <w:p w14:paraId="62415CC7">
      <w:pPr>
        <w:adjustRightInd w:val="0"/>
        <w:snapToGrid w:val="0"/>
        <w:spacing w:line="384" w:lineRule="auto"/>
        <w:ind w:firstLine="482" w:firstLineChars="200"/>
        <w:rPr>
          <w:rFonts w:cs="仿宋_GB2312"/>
          <w:bCs/>
          <w:sz w:val="24"/>
          <w:szCs w:val="24"/>
          <w:lang w:eastAsia="zh-CN"/>
        </w:rPr>
      </w:pPr>
      <w:r>
        <w:rPr>
          <w:rFonts w:hint="eastAsia" w:cs="仿宋_GB2312"/>
          <w:b/>
          <w:bCs/>
          <w:sz w:val="24"/>
          <w:szCs w:val="24"/>
          <w:lang w:eastAsia="zh-CN"/>
        </w:rPr>
        <w:t>七</w:t>
      </w:r>
      <w:r>
        <w:rPr>
          <w:rFonts w:hint="eastAsia" w:cs="仿宋_GB2312"/>
          <w:b/>
          <w:sz w:val="24"/>
          <w:szCs w:val="24"/>
          <w:lang w:eastAsia="zh-CN"/>
        </w:rPr>
        <w:t>、违约责任</w:t>
      </w:r>
    </w:p>
    <w:p w14:paraId="3DB020F2">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（一）按照《中华人民共和国民法典》中的相关条款执行。</w:t>
      </w:r>
    </w:p>
    <w:p w14:paraId="6BA2D114">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（二）未按合同要求提供服务或服务质量不能满足本次采购要求，甲方会同监督机构、采购代理机构有权终止合同和对乙方违约行为进行追究，同时按政府采购法的有关规定进行相应的处罚。</w:t>
      </w:r>
    </w:p>
    <w:p w14:paraId="5BF30EE5">
      <w:pPr>
        <w:adjustRightInd w:val="0"/>
        <w:snapToGrid w:val="0"/>
        <w:spacing w:line="384" w:lineRule="auto"/>
        <w:ind w:firstLine="482" w:firstLineChars="200"/>
        <w:rPr>
          <w:rFonts w:cs="仿宋_GB2312"/>
          <w:b/>
          <w:bCs/>
          <w:sz w:val="24"/>
          <w:szCs w:val="24"/>
          <w:lang w:eastAsia="zh-CN"/>
        </w:rPr>
      </w:pPr>
      <w:r>
        <w:rPr>
          <w:rFonts w:hint="eastAsia" w:cs="仿宋_GB2312"/>
          <w:b/>
          <w:bCs/>
          <w:sz w:val="24"/>
          <w:szCs w:val="24"/>
          <w:lang w:eastAsia="zh-CN"/>
        </w:rPr>
        <w:t>八、其他事项</w:t>
      </w:r>
    </w:p>
    <w:p w14:paraId="2F45EC18">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（一）乙方不得转让、分包给其他单位或个人；</w:t>
      </w:r>
    </w:p>
    <w:p w14:paraId="5C3641CC">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（二）乙方的竞争性磋商响应文件和承诺等内容将列入合同。</w:t>
      </w:r>
    </w:p>
    <w:p w14:paraId="5DB66B44">
      <w:pPr>
        <w:adjustRightInd w:val="0"/>
        <w:snapToGrid w:val="0"/>
        <w:spacing w:line="384" w:lineRule="auto"/>
        <w:ind w:firstLine="482" w:firstLineChars="200"/>
        <w:rPr>
          <w:rFonts w:cs="仿宋_GB2312"/>
          <w:b/>
          <w:bCs/>
          <w:sz w:val="24"/>
          <w:szCs w:val="24"/>
          <w:lang w:eastAsia="zh-CN"/>
        </w:rPr>
      </w:pPr>
      <w:r>
        <w:rPr>
          <w:rFonts w:hint="eastAsia" w:cs="仿宋_GB2312"/>
          <w:b/>
          <w:bCs/>
          <w:sz w:val="24"/>
          <w:szCs w:val="24"/>
          <w:lang w:eastAsia="zh-CN"/>
        </w:rPr>
        <w:t>九、合同争议解决的方式</w:t>
      </w:r>
    </w:p>
    <w:p w14:paraId="7C4DCA6D">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本合同在履行过程中发生的争议，由甲、乙双方当事人协商解决，协商不成的按下列第</w:t>
      </w:r>
      <w:r>
        <w:rPr>
          <w:rFonts w:hint="eastAsia" w:cs="仿宋_GB2312"/>
          <w:bCs/>
          <w:sz w:val="24"/>
          <w:szCs w:val="24"/>
          <w:u w:val="single"/>
          <w:lang w:eastAsia="zh-CN"/>
        </w:rPr>
        <w:t>（二）</w:t>
      </w:r>
      <w:r>
        <w:rPr>
          <w:rFonts w:hint="eastAsia" w:cs="仿宋_GB2312"/>
          <w:bCs/>
          <w:sz w:val="24"/>
          <w:szCs w:val="24"/>
          <w:lang w:eastAsia="zh-CN"/>
        </w:rPr>
        <w:t>种方式解决：</w:t>
      </w:r>
    </w:p>
    <w:p w14:paraId="61E332F7">
      <w:pPr>
        <w:adjustRightInd w:val="0"/>
        <w:snapToGrid w:val="0"/>
        <w:spacing w:line="384" w:lineRule="auto"/>
        <w:ind w:firstLine="480" w:firstLineChars="200"/>
        <w:rPr>
          <w:rFonts w:cs="仿宋_GB2312"/>
          <w:bCs/>
          <w:sz w:val="24"/>
          <w:szCs w:val="24"/>
          <w:lang w:eastAsia="zh-CN"/>
        </w:rPr>
      </w:pPr>
      <w:r>
        <w:rPr>
          <w:rFonts w:hint="eastAsia" w:cs="仿宋_GB2312"/>
          <w:bCs/>
          <w:sz w:val="24"/>
          <w:szCs w:val="24"/>
          <w:lang w:eastAsia="zh-CN"/>
        </w:rPr>
        <w:t>（一）提交西安仲裁委员会仲裁；</w:t>
      </w:r>
    </w:p>
    <w:p w14:paraId="22526D8F">
      <w:pPr>
        <w:adjustRightInd w:val="0"/>
        <w:snapToGrid w:val="0"/>
        <w:spacing w:line="384" w:lineRule="auto"/>
        <w:ind w:firstLine="480" w:firstLineChars="200"/>
        <w:rPr>
          <w:lang w:eastAsia="zh-CN"/>
        </w:rPr>
      </w:pPr>
      <w:r>
        <w:rPr>
          <w:rFonts w:hint="eastAsia" w:cs="仿宋_GB2312"/>
          <w:bCs/>
          <w:sz w:val="24"/>
          <w:szCs w:val="24"/>
          <w:lang w:eastAsia="zh-CN"/>
        </w:rPr>
        <w:t>（二）依法向有管辖权的人民法院起诉。</w:t>
      </w:r>
    </w:p>
    <w:p w14:paraId="44F9922E">
      <w:pPr>
        <w:adjustRightInd w:val="0"/>
        <w:snapToGrid w:val="0"/>
        <w:spacing w:line="384" w:lineRule="auto"/>
        <w:ind w:firstLine="482" w:firstLineChars="200"/>
        <w:rPr>
          <w:rFonts w:cs="仿宋_GB2312"/>
          <w:bCs/>
          <w:sz w:val="24"/>
          <w:szCs w:val="24"/>
          <w:lang w:eastAsia="zh-CN"/>
        </w:rPr>
      </w:pPr>
      <w:r>
        <w:rPr>
          <w:rFonts w:hint="eastAsia" w:cs="仿宋_GB2312"/>
          <w:b/>
          <w:sz w:val="24"/>
          <w:szCs w:val="24"/>
          <w:lang w:eastAsia="zh-CN"/>
        </w:rPr>
        <w:t>十、合同生效</w:t>
      </w:r>
    </w:p>
    <w:p w14:paraId="792C24B8">
      <w:pPr>
        <w:adjustRightInd w:val="0"/>
        <w:snapToGrid w:val="0"/>
        <w:spacing w:line="384" w:lineRule="auto"/>
        <w:ind w:firstLine="480" w:firstLineChars="200"/>
        <w:rPr>
          <w:rFonts w:cs="仿宋_GB2312"/>
          <w:bCs/>
          <w:sz w:val="24"/>
          <w:szCs w:val="24"/>
          <w:lang w:eastAsia="zh-CN"/>
        </w:rPr>
      </w:pPr>
      <w:r>
        <w:rPr>
          <w:rFonts w:cs="仿宋_GB2312"/>
          <w:bCs/>
          <w:sz w:val="24"/>
          <w:szCs w:val="24"/>
          <w:lang w:eastAsia="zh-CN"/>
        </w:rPr>
        <w:t>1</w:t>
      </w:r>
      <w:r>
        <w:rPr>
          <w:rFonts w:hint="eastAsia" w:cs="仿宋_GB2312"/>
          <w:bCs/>
          <w:sz w:val="24"/>
          <w:szCs w:val="24"/>
          <w:lang w:eastAsia="zh-CN"/>
        </w:rPr>
        <w:t>、本合同经双方签字盖章后生效。</w:t>
      </w:r>
    </w:p>
    <w:p w14:paraId="529810CC">
      <w:pPr>
        <w:adjustRightInd w:val="0"/>
        <w:snapToGrid w:val="0"/>
        <w:spacing w:line="384" w:lineRule="auto"/>
        <w:ind w:firstLine="480" w:firstLineChars="200"/>
        <w:rPr>
          <w:rFonts w:cs="仿宋_GB2312"/>
          <w:bCs/>
          <w:sz w:val="24"/>
          <w:szCs w:val="24"/>
          <w:lang w:eastAsia="zh-CN"/>
        </w:rPr>
      </w:pPr>
      <w:r>
        <w:rPr>
          <w:rFonts w:cs="仿宋_GB2312"/>
          <w:bCs/>
          <w:sz w:val="24"/>
          <w:szCs w:val="24"/>
          <w:lang w:eastAsia="zh-CN"/>
        </w:rPr>
        <w:t>2</w:t>
      </w:r>
      <w:r>
        <w:rPr>
          <w:rFonts w:hint="eastAsia" w:cs="仿宋_GB2312"/>
          <w:bCs/>
          <w:sz w:val="24"/>
          <w:szCs w:val="24"/>
          <w:lang w:eastAsia="zh-CN"/>
        </w:rPr>
        <w:t>、本合同须经甲、乙双方的法定代表人（授权代理人）在合同书上签字并加盖本单位公章后正式生效。</w:t>
      </w:r>
    </w:p>
    <w:p w14:paraId="4C9235FC">
      <w:pPr>
        <w:adjustRightInd w:val="0"/>
        <w:snapToGrid w:val="0"/>
        <w:spacing w:line="384" w:lineRule="auto"/>
        <w:ind w:firstLine="480" w:firstLineChars="200"/>
        <w:rPr>
          <w:rFonts w:cs="仿宋_GB2312"/>
          <w:bCs/>
          <w:sz w:val="24"/>
          <w:szCs w:val="24"/>
          <w:lang w:eastAsia="zh-CN"/>
        </w:rPr>
      </w:pPr>
      <w:r>
        <w:rPr>
          <w:rFonts w:cs="仿宋_GB2312"/>
          <w:bCs/>
          <w:sz w:val="24"/>
          <w:szCs w:val="24"/>
          <w:lang w:eastAsia="zh-CN"/>
        </w:rPr>
        <w:t>3</w:t>
      </w:r>
      <w:r>
        <w:rPr>
          <w:rFonts w:hint="eastAsia" w:cs="仿宋_GB2312"/>
          <w:bCs/>
          <w:sz w:val="24"/>
          <w:szCs w:val="24"/>
          <w:lang w:eastAsia="zh-CN"/>
        </w:rPr>
        <w:t>、合同生效后，甲、乙双方须严格执行本合同条款的规定，全面履行合同，违者按《中华人民共和国民法典》的有关规定承担相应责任。</w:t>
      </w:r>
    </w:p>
    <w:p w14:paraId="31AE7275">
      <w:pPr>
        <w:adjustRightInd w:val="0"/>
        <w:snapToGrid w:val="0"/>
        <w:spacing w:line="384" w:lineRule="auto"/>
        <w:ind w:firstLine="480" w:firstLineChars="200"/>
        <w:rPr>
          <w:rFonts w:cs="仿宋_GB2312"/>
          <w:bCs/>
          <w:sz w:val="24"/>
          <w:szCs w:val="24"/>
          <w:lang w:eastAsia="zh-CN"/>
        </w:rPr>
      </w:pPr>
      <w:r>
        <w:rPr>
          <w:rFonts w:cs="仿宋_GB2312"/>
          <w:bCs/>
          <w:sz w:val="24"/>
          <w:szCs w:val="24"/>
          <w:lang w:eastAsia="zh-CN"/>
        </w:rPr>
        <w:t>4</w:t>
      </w:r>
      <w:r>
        <w:rPr>
          <w:rFonts w:hint="eastAsia" w:cs="仿宋_GB2312"/>
          <w:bCs/>
          <w:sz w:val="24"/>
          <w:szCs w:val="24"/>
          <w:lang w:eastAsia="zh-CN"/>
        </w:rPr>
        <w:t>、本合同一式</w:t>
      </w:r>
      <w:r>
        <w:rPr>
          <w:rFonts w:hint="eastAsia" w:cs="仿宋_GB2312"/>
          <w:bCs/>
          <w:sz w:val="24"/>
          <w:szCs w:val="24"/>
          <w:u w:val="single"/>
          <w:lang w:eastAsia="zh-CN"/>
        </w:rPr>
        <w:t xml:space="preserve">   </w:t>
      </w:r>
      <w:r>
        <w:rPr>
          <w:rFonts w:hint="eastAsia" w:cs="仿宋_GB2312"/>
          <w:bCs/>
          <w:sz w:val="24"/>
          <w:szCs w:val="24"/>
          <w:lang w:eastAsia="zh-CN"/>
        </w:rPr>
        <w:t>份，甲乙双方各执</w:t>
      </w:r>
      <w:r>
        <w:rPr>
          <w:rFonts w:hint="eastAsia" w:cs="仿宋_GB2312"/>
          <w:bCs/>
          <w:sz w:val="24"/>
          <w:szCs w:val="24"/>
          <w:u w:val="single"/>
          <w:lang w:eastAsia="zh-CN"/>
        </w:rPr>
        <w:t xml:space="preserve">   </w:t>
      </w:r>
      <w:r>
        <w:rPr>
          <w:rFonts w:hint="eastAsia" w:cs="仿宋_GB2312"/>
          <w:bCs/>
          <w:sz w:val="24"/>
          <w:szCs w:val="24"/>
          <w:lang w:eastAsia="zh-CN"/>
        </w:rPr>
        <w:t>份。</w:t>
      </w:r>
    </w:p>
    <w:p w14:paraId="2A868CEF">
      <w:pPr>
        <w:adjustRightInd w:val="0"/>
        <w:snapToGrid w:val="0"/>
        <w:spacing w:line="384" w:lineRule="auto"/>
        <w:ind w:firstLine="480" w:firstLineChars="200"/>
        <w:rPr>
          <w:rFonts w:cs="仿宋_GB2312"/>
          <w:bCs/>
          <w:sz w:val="24"/>
          <w:szCs w:val="24"/>
          <w:lang w:eastAsia="zh-CN"/>
        </w:rPr>
      </w:pPr>
      <w:r>
        <w:rPr>
          <w:rFonts w:cs="仿宋_GB2312"/>
          <w:bCs/>
          <w:sz w:val="24"/>
          <w:szCs w:val="24"/>
          <w:lang w:eastAsia="zh-CN"/>
        </w:rPr>
        <w:t>5</w:t>
      </w:r>
      <w:r>
        <w:rPr>
          <w:rFonts w:hint="eastAsia" w:cs="仿宋_GB2312"/>
          <w:bCs/>
          <w:sz w:val="24"/>
          <w:szCs w:val="24"/>
          <w:lang w:eastAsia="zh-CN"/>
        </w:rPr>
        <w:t>、本合同如有未尽事宜，甲、乙双方协商解决。</w:t>
      </w:r>
    </w:p>
    <w:p w14:paraId="0C69D2C0">
      <w:pPr>
        <w:adjustRightInd w:val="0"/>
        <w:spacing w:line="360" w:lineRule="auto"/>
        <w:rPr>
          <w:rFonts w:cs="仿宋_GB2312"/>
          <w:bCs/>
          <w:sz w:val="24"/>
          <w:szCs w:val="24"/>
          <w:lang w:eastAsia="zh-CN"/>
        </w:rPr>
      </w:pPr>
    </w:p>
    <w:tbl>
      <w:tblPr>
        <w:tblStyle w:val="2"/>
        <w:tblW w:w="8403" w:type="dxa"/>
        <w:jc w:val="center"/>
        <w:tblLayout w:type="fixed"/>
        <w:tblCellMar>
          <w:top w:w="0" w:type="dxa"/>
          <w:left w:w="108" w:type="dxa"/>
          <w:bottom w:w="0" w:type="dxa"/>
          <w:right w:w="108" w:type="dxa"/>
        </w:tblCellMar>
      </w:tblPr>
      <w:tblGrid>
        <w:gridCol w:w="4201"/>
        <w:gridCol w:w="4202"/>
      </w:tblGrid>
      <w:tr w14:paraId="6C6ABFC3">
        <w:tblPrEx>
          <w:tblCellMar>
            <w:top w:w="0" w:type="dxa"/>
            <w:left w:w="108" w:type="dxa"/>
            <w:bottom w:w="0" w:type="dxa"/>
            <w:right w:w="108" w:type="dxa"/>
          </w:tblCellMar>
        </w:tblPrEx>
        <w:trPr>
          <w:trHeight w:val="567" w:hRule="exact"/>
          <w:jc w:val="center"/>
        </w:trPr>
        <w:tc>
          <w:tcPr>
            <w:tcW w:w="4201" w:type="dxa"/>
            <w:vAlign w:val="center"/>
          </w:tcPr>
          <w:p w14:paraId="25B617A3">
            <w:pPr>
              <w:adjustRightInd w:val="0"/>
              <w:snapToGrid w:val="0"/>
              <w:spacing w:line="372" w:lineRule="auto"/>
              <w:rPr>
                <w:rFonts w:cs="仿宋_GB2312"/>
                <w:bCs/>
                <w:sz w:val="24"/>
                <w:szCs w:val="24"/>
              </w:rPr>
            </w:pPr>
            <w:r>
              <w:rPr>
                <w:rFonts w:hint="eastAsia" w:cs="仿宋_GB2312"/>
                <w:bCs/>
                <w:sz w:val="24"/>
                <w:szCs w:val="24"/>
              </w:rPr>
              <w:t>甲  方</w:t>
            </w:r>
          </w:p>
        </w:tc>
        <w:tc>
          <w:tcPr>
            <w:tcW w:w="4202" w:type="dxa"/>
            <w:vAlign w:val="center"/>
          </w:tcPr>
          <w:p w14:paraId="4B48CE0B">
            <w:pPr>
              <w:adjustRightInd w:val="0"/>
              <w:snapToGrid w:val="0"/>
              <w:spacing w:line="372" w:lineRule="auto"/>
              <w:rPr>
                <w:rFonts w:cs="仿宋_GB2312"/>
                <w:bCs/>
                <w:sz w:val="24"/>
                <w:szCs w:val="24"/>
              </w:rPr>
            </w:pPr>
            <w:r>
              <w:rPr>
                <w:rFonts w:hint="eastAsia" w:cs="仿宋_GB2312"/>
                <w:bCs/>
                <w:sz w:val="24"/>
                <w:szCs w:val="24"/>
              </w:rPr>
              <w:t>乙  方</w:t>
            </w:r>
          </w:p>
        </w:tc>
      </w:tr>
      <w:tr w14:paraId="7F2B22F2">
        <w:tblPrEx>
          <w:tblCellMar>
            <w:top w:w="0" w:type="dxa"/>
            <w:left w:w="108" w:type="dxa"/>
            <w:bottom w:w="0" w:type="dxa"/>
            <w:right w:w="108" w:type="dxa"/>
          </w:tblCellMar>
        </w:tblPrEx>
        <w:trPr>
          <w:trHeight w:val="567" w:hRule="exact"/>
          <w:jc w:val="center"/>
        </w:trPr>
        <w:tc>
          <w:tcPr>
            <w:tcW w:w="4201" w:type="dxa"/>
            <w:vAlign w:val="center"/>
          </w:tcPr>
          <w:p w14:paraId="4CAC24D9">
            <w:pPr>
              <w:adjustRightInd w:val="0"/>
              <w:snapToGrid w:val="0"/>
              <w:spacing w:line="372" w:lineRule="auto"/>
              <w:rPr>
                <w:rFonts w:cs="仿宋_GB2312"/>
                <w:bCs/>
                <w:sz w:val="24"/>
                <w:szCs w:val="24"/>
              </w:rPr>
            </w:pPr>
            <w:r>
              <w:rPr>
                <w:rFonts w:hint="eastAsia" w:cs="仿宋_GB2312"/>
                <w:bCs/>
                <w:sz w:val="24"/>
                <w:szCs w:val="24"/>
              </w:rPr>
              <w:t>（盖章）</w:t>
            </w:r>
          </w:p>
        </w:tc>
        <w:tc>
          <w:tcPr>
            <w:tcW w:w="4202" w:type="dxa"/>
            <w:vAlign w:val="center"/>
          </w:tcPr>
          <w:p w14:paraId="098FA117">
            <w:pPr>
              <w:adjustRightInd w:val="0"/>
              <w:snapToGrid w:val="0"/>
              <w:spacing w:line="372" w:lineRule="auto"/>
              <w:rPr>
                <w:rFonts w:cs="仿宋_GB2312"/>
                <w:bCs/>
                <w:sz w:val="24"/>
                <w:szCs w:val="24"/>
              </w:rPr>
            </w:pPr>
            <w:r>
              <w:rPr>
                <w:rFonts w:hint="eastAsia" w:cs="仿宋_GB2312"/>
                <w:bCs/>
                <w:sz w:val="24"/>
                <w:szCs w:val="24"/>
              </w:rPr>
              <w:t>（盖章）</w:t>
            </w:r>
          </w:p>
        </w:tc>
      </w:tr>
      <w:tr w14:paraId="04BA9071">
        <w:tblPrEx>
          <w:tblCellMar>
            <w:top w:w="0" w:type="dxa"/>
            <w:left w:w="108" w:type="dxa"/>
            <w:bottom w:w="0" w:type="dxa"/>
            <w:right w:w="108" w:type="dxa"/>
          </w:tblCellMar>
        </w:tblPrEx>
        <w:trPr>
          <w:trHeight w:val="567" w:hRule="exact"/>
          <w:jc w:val="center"/>
        </w:trPr>
        <w:tc>
          <w:tcPr>
            <w:tcW w:w="4201" w:type="dxa"/>
            <w:vAlign w:val="center"/>
          </w:tcPr>
          <w:p w14:paraId="55DAE6CF">
            <w:pPr>
              <w:adjustRightInd w:val="0"/>
              <w:snapToGrid w:val="0"/>
              <w:spacing w:line="372" w:lineRule="auto"/>
              <w:rPr>
                <w:rFonts w:cs="仿宋_GB2312"/>
                <w:bCs/>
                <w:sz w:val="24"/>
                <w:szCs w:val="24"/>
              </w:rPr>
            </w:pPr>
            <w:r>
              <w:rPr>
                <w:rFonts w:hint="eastAsia" w:cs="仿宋_GB2312"/>
                <w:bCs/>
                <w:sz w:val="24"/>
                <w:szCs w:val="24"/>
              </w:rPr>
              <w:t xml:space="preserve">地址： </w:t>
            </w:r>
          </w:p>
        </w:tc>
        <w:tc>
          <w:tcPr>
            <w:tcW w:w="4202" w:type="dxa"/>
            <w:vAlign w:val="center"/>
          </w:tcPr>
          <w:p w14:paraId="534286F8">
            <w:pPr>
              <w:adjustRightInd w:val="0"/>
              <w:snapToGrid w:val="0"/>
              <w:spacing w:line="372" w:lineRule="auto"/>
              <w:rPr>
                <w:rFonts w:cs="仿宋_GB2312"/>
                <w:bCs/>
                <w:sz w:val="24"/>
                <w:szCs w:val="24"/>
              </w:rPr>
            </w:pPr>
            <w:r>
              <w:rPr>
                <w:rFonts w:hint="eastAsia" w:cs="仿宋_GB2312"/>
                <w:bCs/>
                <w:sz w:val="24"/>
                <w:szCs w:val="24"/>
              </w:rPr>
              <w:t>地址：</w:t>
            </w:r>
          </w:p>
        </w:tc>
      </w:tr>
      <w:tr w14:paraId="58EA82DD">
        <w:tblPrEx>
          <w:tblCellMar>
            <w:top w:w="0" w:type="dxa"/>
            <w:left w:w="108" w:type="dxa"/>
            <w:bottom w:w="0" w:type="dxa"/>
            <w:right w:w="108" w:type="dxa"/>
          </w:tblCellMar>
        </w:tblPrEx>
        <w:trPr>
          <w:trHeight w:val="567" w:hRule="exact"/>
          <w:jc w:val="center"/>
        </w:trPr>
        <w:tc>
          <w:tcPr>
            <w:tcW w:w="4201" w:type="dxa"/>
            <w:vAlign w:val="center"/>
          </w:tcPr>
          <w:p w14:paraId="74383827">
            <w:pPr>
              <w:adjustRightInd w:val="0"/>
              <w:snapToGrid w:val="0"/>
              <w:spacing w:line="372" w:lineRule="auto"/>
              <w:rPr>
                <w:rFonts w:cs="仿宋_GB2312"/>
                <w:bCs/>
                <w:sz w:val="24"/>
                <w:szCs w:val="24"/>
              </w:rPr>
            </w:pPr>
            <w:r>
              <w:rPr>
                <w:rFonts w:hint="eastAsia" w:cs="仿宋_GB2312"/>
                <w:bCs/>
                <w:sz w:val="24"/>
                <w:szCs w:val="24"/>
              </w:rPr>
              <w:t>邮编：</w:t>
            </w:r>
          </w:p>
        </w:tc>
        <w:tc>
          <w:tcPr>
            <w:tcW w:w="4202" w:type="dxa"/>
            <w:vAlign w:val="center"/>
          </w:tcPr>
          <w:p w14:paraId="5613CB4B">
            <w:pPr>
              <w:adjustRightInd w:val="0"/>
              <w:snapToGrid w:val="0"/>
              <w:spacing w:line="372" w:lineRule="auto"/>
              <w:rPr>
                <w:rFonts w:cs="仿宋_GB2312"/>
                <w:bCs/>
                <w:sz w:val="24"/>
                <w:szCs w:val="24"/>
              </w:rPr>
            </w:pPr>
            <w:r>
              <w:rPr>
                <w:rFonts w:hint="eastAsia" w:cs="仿宋_GB2312"/>
                <w:bCs/>
                <w:sz w:val="24"/>
                <w:szCs w:val="24"/>
              </w:rPr>
              <w:t>邮编：</w:t>
            </w:r>
          </w:p>
        </w:tc>
      </w:tr>
      <w:tr w14:paraId="5AB58682">
        <w:tblPrEx>
          <w:tblCellMar>
            <w:top w:w="0" w:type="dxa"/>
            <w:left w:w="108" w:type="dxa"/>
            <w:bottom w:w="0" w:type="dxa"/>
            <w:right w:w="108" w:type="dxa"/>
          </w:tblCellMar>
        </w:tblPrEx>
        <w:trPr>
          <w:trHeight w:val="567" w:hRule="exact"/>
          <w:jc w:val="center"/>
        </w:trPr>
        <w:tc>
          <w:tcPr>
            <w:tcW w:w="4201" w:type="dxa"/>
            <w:vAlign w:val="center"/>
          </w:tcPr>
          <w:p w14:paraId="3E6E00C1">
            <w:pPr>
              <w:adjustRightInd w:val="0"/>
              <w:snapToGrid w:val="0"/>
              <w:spacing w:line="372" w:lineRule="auto"/>
              <w:rPr>
                <w:rFonts w:cs="仿宋_GB2312"/>
                <w:bCs/>
                <w:sz w:val="24"/>
                <w:szCs w:val="24"/>
              </w:rPr>
            </w:pPr>
            <w:r>
              <w:rPr>
                <w:rFonts w:hint="eastAsia" w:cs="仿宋_GB2312"/>
                <w:bCs/>
                <w:sz w:val="24"/>
                <w:szCs w:val="24"/>
              </w:rPr>
              <w:t xml:space="preserve">法定代表人： </w:t>
            </w:r>
          </w:p>
        </w:tc>
        <w:tc>
          <w:tcPr>
            <w:tcW w:w="4202" w:type="dxa"/>
            <w:vAlign w:val="center"/>
          </w:tcPr>
          <w:p w14:paraId="0BBD2B29">
            <w:pPr>
              <w:adjustRightInd w:val="0"/>
              <w:snapToGrid w:val="0"/>
              <w:spacing w:line="372" w:lineRule="auto"/>
              <w:rPr>
                <w:rFonts w:cs="仿宋_GB2312"/>
                <w:bCs/>
                <w:sz w:val="24"/>
                <w:szCs w:val="24"/>
              </w:rPr>
            </w:pPr>
            <w:r>
              <w:rPr>
                <w:rFonts w:hint="eastAsia" w:cs="仿宋_GB2312"/>
                <w:bCs/>
                <w:sz w:val="24"/>
                <w:szCs w:val="24"/>
              </w:rPr>
              <w:t>法定代表人：</w:t>
            </w:r>
          </w:p>
        </w:tc>
      </w:tr>
      <w:tr w14:paraId="2DEB7C13">
        <w:tblPrEx>
          <w:tblCellMar>
            <w:top w:w="0" w:type="dxa"/>
            <w:left w:w="108" w:type="dxa"/>
            <w:bottom w:w="0" w:type="dxa"/>
            <w:right w:w="108" w:type="dxa"/>
          </w:tblCellMar>
        </w:tblPrEx>
        <w:trPr>
          <w:trHeight w:val="567" w:hRule="exact"/>
          <w:jc w:val="center"/>
        </w:trPr>
        <w:tc>
          <w:tcPr>
            <w:tcW w:w="4201" w:type="dxa"/>
            <w:vAlign w:val="center"/>
          </w:tcPr>
          <w:p w14:paraId="39D5FCEC">
            <w:pPr>
              <w:adjustRightInd w:val="0"/>
              <w:snapToGrid w:val="0"/>
              <w:spacing w:line="372" w:lineRule="auto"/>
              <w:rPr>
                <w:rFonts w:cs="仿宋_GB2312"/>
                <w:bCs/>
                <w:sz w:val="24"/>
                <w:szCs w:val="24"/>
              </w:rPr>
            </w:pPr>
            <w:r>
              <w:rPr>
                <w:rFonts w:hint="eastAsia" w:cs="仿宋_GB2312"/>
                <w:bCs/>
                <w:sz w:val="24"/>
                <w:szCs w:val="24"/>
              </w:rPr>
              <w:t>项目负责人：</w:t>
            </w:r>
          </w:p>
        </w:tc>
        <w:tc>
          <w:tcPr>
            <w:tcW w:w="4202" w:type="dxa"/>
            <w:vAlign w:val="center"/>
          </w:tcPr>
          <w:p w14:paraId="4686A0CE">
            <w:pPr>
              <w:adjustRightInd w:val="0"/>
              <w:snapToGrid w:val="0"/>
              <w:spacing w:line="372" w:lineRule="auto"/>
              <w:rPr>
                <w:rFonts w:cs="仿宋_GB2312"/>
                <w:bCs/>
                <w:sz w:val="24"/>
                <w:szCs w:val="24"/>
              </w:rPr>
            </w:pPr>
            <w:r>
              <w:rPr>
                <w:rFonts w:hint="eastAsia" w:cs="仿宋_GB2312"/>
                <w:bCs/>
                <w:sz w:val="24"/>
                <w:szCs w:val="24"/>
              </w:rPr>
              <w:t>项目负责人：</w:t>
            </w:r>
          </w:p>
        </w:tc>
      </w:tr>
      <w:tr w14:paraId="4393D485">
        <w:tblPrEx>
          <w:tblCellMar>
            <w:top w:w="0" w:type="dxa"/>
            <w:left w:w="108" w:type="dxa"/>
            <w:bottom w:w="0" w:type="dxa"/>
            <w:right w:w="108" w:type="dxa"/>
          </w:tblCellMar>
        </w:tblPrEx>
        <w:trPr>
          <w:trHeight w:val="567" w:hRule="exact"/>
          <w:jc w:val="center"/>
        </w:trPr>
        <w:tc>
          <w:tcPr>
            <w:tcW w:w="4201" w:type="dxa"/>
            <w:vAlign w:val="center"/>
          </w:tcPr>
          <w:p w14:paraId="296E06C6">
            <w:pPr>
              <w:adjustRightInd w:val="0"/>
              <w:snapToGrid w:val="0"/>
              <w:spacing w:line="372" w:lineRule="auto"/>
              <w:rPr>
                <w:rFonts w:cs="仿宋_GB2312"/>
                <w:bCs/>
                <w:sz w:val="24"/>
                <w:szCs w:val="24"/>
              </w:rPr>
            </w:pPr>
            <w:r>
              <w:rPr>
                <w:rFonts w:hint="eastAsia" w:cs="仿宋_GB2312"/>
                <w:bCs/>
                <w:sz w:val="24"/>
                <w:szCs w:val="24"/>
              </w:rPr>
              <w:t>电话：</w:t>
            </w:r>
          </w:p>
        </w:tc>
        <w:tc>
          <w:tcPr>
            <w:tcW w:w="4202" w:type="dxa"/>
            <w:vAlign w:val="center"/>
          </w:tcPr>
          <w:p w14:paraId="55EC0DE3">
            <w:pPr>
              <w:adjustRightInd w:val="0"/>
              <w:snapToGrid w:val="0"/>
              <w:spacing w:line="372" w:lineRule="auto"/>
              <w:rPr>
                <w:rFonts w:cs="仿宋_GB2312"/>
                <w:bCs/>
                <w:sz w:val="24"/>
                <w:szCs w:val="24"/>
              </w:rPr>
            </w:pPr>
            <w:r>
              <w:rPr>
                <w:rFonts w:hint="eastAsia" w:cs="仿宋_GB2312"/>
                <w:bCs/>
                <w:sz w:val="24"/>
                <w:szCs w:val="24"/>
              </w:rPr>
              <w:t>电话：</w:t>
            </w:r>
          </w:p>
        </w:tc>
      </w:tr>
      <w:tr w14:paraId="05B30A2A">
        <w:tblPrEx>
          <w:tblCellMar>
            <w:top w:w="0" w:type="dxa"/>
            <w:left w:w="108" w:type="dxa"/>
            <w:bottom w:w="0" w:type="dxa"/>
            <w:right w:w="108" w:type="dxa"/>
          </w:tblCellMar>
        </w:tblPrEx>
        <w:trPr>
          <w:trHeight w:val="567" w:hRule="exact"/>
          <w:jc w:val="center"/>
        </w:trPr>
        <w:tc>
          <w:tcPr>
            <w:tcW w:w="4201" w:type="dxa"/>
            <w:vAlign w:val="center"/>
          </w:tcPr>
          <w:p w14:paraId="6F5123F5">
            <w:pPr>
              <w:adjustRightInd w:val="0"/>
              <w:snapToGrid w:val="0"/>
              <w:spacing w:line="372" w:lineRule="auto"/>
              <w:rPr>
                <w:rFonts w:cs="仿宋_GB2312"/>
                <w:bCs/>
                <w:sz w:val="24"/>
                <w:szCs w:val="24"/>
              </w:rPr>
            </w:pPr>
            <w:r>
              <w:rPr>
                <w:rFonts w:hint="eastAsia" w:cs="仿宋_GB2312"/>
                <w:bCs/>
                <w:sz w:val="24"/>
                <w:szCs w:val="24"/>
              </w:rPr>
              <w:t>传真：</w:t>
            </w:r>
          </w:p>
        </w:tc>
        <w:tc>
          <w:tcPr>
            <w:tcW w:w="4202" w:type="dxa"/>
            <w:vAlign w:val="center"/>
          </w:tcPr>
          <w:p w14:paraId="09CF4A11">
            <w:pPr>
              <w:adjustRightInd w:val="0"/>
              <w:snapToGrid w:val="0"/>
              <w:spacing w:line="372" w:lineRule="auto"/>
              <w:rPr>
                <w:rFonts w:cs="仿宋_GB2312"/>
                <w:bCs/>
                <w:sz w:val="24"/>
                <w:szCs w:val="24"/>
              </w:rPr>
            </w:pPr>
            <w:r>
              <w:rPr>
                <w:rFonts w:hint="eastAsia" w:cs="仿宋_GB2312"/>
                <w:bCs/>
                <w:sz w:val="24"/>
                <w:szCs w:val="24"/>
              </w:rPr>
              <w:t>传真：</w:t>
            </w:r>
          </w:p>
        </w:tc>
      </w:tr>
      <w:tr w14:paraId="02B2908D">
        <w:tblPrEx>
          <w:tblCellMar>
            <w:top w:w="0" w:type="dxa"/>
            <w:left w:w="108" w:type="dxa"/>
            <w:bottom w:w="0" w:type="dxa"/>
            <w:right w:w="108" w:type="dxa"/>
          </w:tblCellMar>
        </w:tblPrEx>
        <w:trPr>
          <w:trHeight w:val="567" w:hRule="exact"/>
          <w:jc w:val="center"/>
        </w:trPr>
        <w:tc>
          <w:tcPr>
            <w:tcW w:w="4201" w:type="dxa"/>
            <w:vAlign w:val="center"/>
          </w:tcPr>
          <w:p w14:paraId="44DED190">
            <w:pPr>
              <w:adjustRightInd w:val="0"/>
              <w:snapToGrid w:val="0"/>
              <w:spacing w:line="372" w:lineRule="auto"/>
              <w:rPr>
                <w:rFonts w:cs="仿宋_GB2312"/>
                <w:bCs/>
                <w:sz w:val="24"/>
                <w:szCs w:val="24"/>
              </w:rPr>
            </w:pPr>
            <w:r>
              <w:rPr>
                <w:rFonts w:hint="eastAsia" w:cs="仿宋_GB2312"/>
                <w:bCs/>
                <w:sz w:val="24"/>
                <w:szCs w:val="24"/>
              </w:rPr>
              <w:t>开户银行：</w:t>
            </w:r>
          </w:p>
        </w:tc>
        <w:tc>
          <w:tcPr>
            <w:tcW w:w="4202" w:type="dxa"/>
            <w:vAlign w:val="center"/>
          </w:tcPr>
          <w:p w14:paraId="6E08F7C9">
            <w:pPr>
              <w:adjustRightInd w:val="0"/>
              <w:snapToGrid w:val="0"/>
              <w:spacing w:line="372" w:lineRule="auto"/>
              <w:rPr>
                <w:rFonts w:cs="仿宋_GB2312"/>
                <w:bCs/>
                <w:sz w:val="24"/>
                <w:szCs w:val="24"/>
              </w:rPr>
            </w:pPr>
            <w:r>
              <w:rPr>
                <w:rFonts w:hint="eastAsia" w:cs="仿宋_GB2312"/>
                <w:bCs/>
                <w:sz w:val="24"/>
                <w:szCs w:val="24"/>
              </w:rPr>
              <w:t>开户银行：</w:t>
            </w:r>
          </w:p>
        </w:tc>
      </w:tr>
      <w:tr w14:paraId="561CA084">
        <w:tblPrEx>
          <w:tblCellMar>
            <w:top w:w="0" w:type="dxa"/>
            <w:left w:w="108" w:type="dxa"/>
            <w:bottom w:w="0" w:type="dxa"/>
            <w:right w:w="108" w:type="dxa"/>
          </w:tblCellMar>
        </w:tblPrEx>
        <w:trPr>
          <w:trHeight w:val="567" w:hRule="exact"/>
          <w:jc w:val="center"/>
        </w:trPr>
        <w:tc>
          <w:tcPr>
            <w:tcW w:w="4201" w:type="dxa"/>
            <w:vAlign w:val="center"/>
          </w:tcPr>
          <w:p w14:paraId="3CD49774">
            <w:pPr>
              <w:adjustRightInd w:val="0"/>
              <w:snapToGrid w:val="0"/>
              <w:spacing w:line="372" w:lineRule="auto"/>
              <w:rPr>
                <w:rFonts w:cs="仿宋_GB2312"/>
                <w:bCs/>
                <w:sz w:val="24"/>
                <w:szCs w:val="24"/>
              </w:rPr>
            </w:pPr>
            <w:r>
              <w:rPr>
                <w:rFonts w:hint="eastAsia" w:cs="仿宋_GB2312"/>
                <w:bCs/>
                <w:sz w:val="24"/>
                <w:szCs w:val="24"/>
              </w:rPr>
              <w:t>日期：</w:t>
            </w:r>
          </w:p>
        </w:tc>
        <w:tc>
          <w:tcPr>
            <w:tcW w:w="4202" w:type="dxa"/>
            <w:vAlign w:val="center"/>
          </w:tcPr>
          <w:p w14:paraId="03F51EF8">
            <w:pPr>
              <w:adjustRightInd w:val="0"/>
              <w:snapToGrid w:val="0"/>
              <w:spacing w:line="372" w:lineRule="auto"/>
              <w:rPr>
                <w:rFonts w:cs="仿宋_GB2312"/>
                <w:bCs/>
                <w:sz w:val="24"/>
                <w:szCs w:val="24"/>
              </w:rPr>
            </w:pPr>
            <w:r>
              <w:rPr>
                <w:rFonts w:hint="eastAsia" w:cs="仿宋_GB2312"/>
                <w:bCs/>
                <w:sz w:val="24"/>
                <w:szCs w:val="24"/>
              </w:rPr>
              <w:t>日期：</w:t>
            </w:r>
          </w:p>
        </w:tc>
      </w:tr>
    </w:tbl>
    <w:p w14:paraId="144BD257">
      <w:pPr>
        <w:adjustRightInd w:val="0"/>
        <w:snapToGrid w:val="0"/>
        <w:spacing w:line="348" w:lineRule="auto"/>
        <w:rPr>
          <w:sz w:val="24"/>
          <w:szCs w:val="24"/>
          <w:lang w:eastAsia="zh-CN"/>
        </w:rPr>
      </w:pPr>
    </w:p>
    <w:p w14:paraId="498F215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AD7C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2025-06-18T03:23:12Z</dcterms:created>
  <dc:creator>Administrator</dc:creator>
  <cp:lastModifiedBy>宁</cp:lastModifiedBy>
  <dcterms:modified xsi:type="dcterms:W3CDTF">2025-06-18T03:23:26Z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eyJoZGlkIjoiMGVjYzdhNjM3MmY3MjdhNjNiZDcxMDAwMjAxODYwNmUiLCJ1c2VySWQiOiI1MTU3MTc1NTAifQ==</vt:lpwstr>
  </property>
  <property fmtid="{D5CDD505-2E9C-101B-9397-08002B2CF9AE}" pid="4" name="ICV">
    <vt:lpwstr>7A4909A3C17A4A639DCA4515E19097A0_12</vt:lpwstr>
  </property>
</Properties>
</file>