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版本号：LZBD2025-95520250619001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陕西省2024年农村环境整治成效评估及农村生活污水处理设施运行情况调查评估项目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LZBD2025-955</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陕西省2024年农村环境整治成效评估及农村生活污水处理设施运行情况调查评估项目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LZBD2025-955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陕西省2024年农村环境整治成效评估及农村生活污水处理设施运行情况调查评估项目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现场调研、水体监测、访谈等方式开展2024年农村生活污水处理设施运行情况调查评估。其中，采购包1：通过资料收集、现场调研、水体监测等方式，开展西安市、铜川市、渭南市、商洛市农村生活污水处理设施（设计日处理能力100吨及以上）现场调查评估工作（约609个设施），编制陕西省西安市、铜川市、渭南市、商洛市农村生活污水处理设施（设计日处理能力100吨及以上）运行情况调查评估报告。采购包2：通过资料收集、现场调研、水体监测等方式，开展延安市、榆林市、宝鸡市、咸阳市、汉中市、安康市农村生活污水处理设施（设计日处理能力100吨及以上）现场调查评估工作（约464个设施），编制陕西省延安市、榆林市、宝鸡市、咸阳市、汉中市、安康市农村生活污水处理设施（设计日处理能力100吨及以上）运行情况调查评估报告。采购包3：通过卫星遥感监测技术开展陕西省农村地区黑臭水体排查，形成农村黑臭水体遥感排查问题清单。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近年（2024年）经审计的财务报告（事业法人可提供部门决算报告）或基本开户银行出具的资信证明或政府采购专业担保机构出具的磋商担保函（事业单位可不提供），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近年（2024年）经审计的财务报告（事业法人可提供部门决算报告）或基本开户银行出具的资信证明或政府采购专业担保机构出具的磋商担保函（事业单位可不提供），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近年（2024年）经审计的财务报告（事业法人可提供部门决算报告）或基本开户银行出具的资信证明或政府采购专业担保机构出具的磋商担保函（事业单位可不提供），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029-85365360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徐小宁、刘宇佳、刘强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p>
          <w:p>
            <w:pPr>
              <w:pStyle w:val="null3"/>
            </w:pPr>
            <w:r>
              <w:rPr>
                <w:rFonts w:ascii="仿宋_GB2312" w:hAnsi="仿宋_GB2312" w:cs="仿宋_GB2312" w:eastAsia="仿宋_GB2312"/>
              </w:rPr>
              <w:t>采购包2：670,000.00元</w:t>
            </w:r>
          </w:p>
          <w:p>
            <w:pPr>
              <w:pStyle w:val="null3"/>
            </w:pPr>
            <w:r>
              <w:rPr>
                <w:rFonts w:ascii="仿宋_GB2312" w:hAnsi="仿宋_GB2312" w:cs="仿宋_GB2312" w:eastAsia="仿宋_GB2312"/>
              </w:rPr>
              <w:t>采购包3：180,000.00元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号：30201278016988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联系人：徐小宁、刘宇佳、刘强</w:t>
      </w:r>
    </w:p>
    <w:p>
      <w:pPr>
        <w:pStyle w:val="null3"/>
      </w:pPr>
      <w:r>
        <w:rPr>
          <w:rFonts w:ascii="仿宋_GB2312" w:hAnsi="仿宋_GB2312" w:cs="仿宋_GB2312" w:eastAsia="仿宋_GB2312"/>
        </w:rPr>
        <w:t>联系电话：029-888228899-646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（一）项目情况</w:t>
      </w:r>
    </w:p>
    <w:p>
      <w:pPr>
        <w:pStyle w:val="null3"/>
      </w:pPr>
      <w:r>
        <w:rPr>
          <w:rFonts w:ascii="仿宋_GB2312" w:hAnsi="仿宋_GB2312" w:cs="仿宋_GB2312" w:eastAsia="仿宋_GB2312"/>
        </w:rPr>
        <w:t>农村环境整治是打好农业农村污染治理攻坚战的重要内容，也是农村人居环境整治的关键任务。2024年，我省共有行政村17090个，已完成农村环境整治的行政村8454个，整治率为49.47%；已完成农村生活污水治理行政村7648个，治理率为44.75%；已完成治理农村黑臭水体190个；已建成集中式生活污水处理设施2918个，其中设计日处理能力100吨及以上设施1074个。我省农村环境总体得到改善，但距乡村振兴、建设美丽乡村的要求还有很大差距，还存在许多困难和问题。通过现场调研、水体监测、访谈等方式开展2024年农村环境整治成效评估及农村生活污水处理设施运行情况调查评估。</w:t>
      </w:r>
    </w:p>
    <w:p>
      <w:pPr>
        <w:pStyle w:val="null3"/>
      </w:pPr>
      <w:r>
        <w:rPr>
          <w:rFonts w:ascii="仿宋_GB2312" w:hAnsi="仿宋_GB2312" w:cs="仿宋_GB2312" w:eastAsia="仿宋_GB2312"/>
        </w:rPr>
        <w:t>（二）项目要求</w:t>
      </w:r>
    </w:p>
    <w:p>
      <w:pPr>
        <w:pStyle w:val="null3"/>
      </w:pPr>
      <w:r>
        <w:rPr>
          <w:rFonts w:ascii="仿宋_GB2312" w:hAnsi="仿宋_GB2312" w:cs="仿宋_GB2312" w:eastAsia="仿宋_GB2312"/>
        </w:rPr>
        <w:t>陕西省2024年农村环境整治成效评估及农村生活污水处理设施运行情况调查评估项目，根据2024年底省厅上报生态环境部农业农村生态环境监管系统中2024年已完成农村环境整治行政村清单、农村生活污水治理行政村清单、已完成整治国家、省级监管农村黑臭水体清单等为基础，随机抽取20%的行政村，通过暗访、资料收集、现场对接、现场调研、水体识别、随机访谈等方式，开展成效评估工作，已完成整治行政村的治理成效是否实现“三基本”，集中式农村生活污水处理设施运行情况，已完成治理农村黑臭水体是否返黑返臭等。对设计日处理能力100吨及以上农村生活污水处理设施开展现场调查评估工作。利用卫星遥感监测技术对全省农村黑臭水体开展排查及监督管理。</w:t>
      </w:r>
    </w:p>
    <w:p>
      <w:pPr>
        <w:pStyle w:val="null3"/>
      </w:pPr>
      <w:r>
        <w:rPr>
          <w:rFonts w:ascii="仿宋_GB2312" w:hAnsi="仿宋_GB2312" w:cs="仿宋_GB2312" w:eastAsia="仿宋_GB2312"/>
        </w:rPr>
        <w:t>（三）项目成果</w:t>
      </w:r>
    </w:p>
    <w:p>
      <w:pPr>
        <w:pStyle w:val="null3"/>
      </w:pPr>
      <w:r>
        <w:rPr>
          <w:rFonts w:ascii="仿宋_GB2312" w:hAnsi="仿宋_GB2312" w:cs="仿宋_GB2312" w:eastAsia="仿宋_GB2312"/>
        </w:rPr>
        <w:t>编制陕西省农村黑臭水体遥感排查问题清单、各市农村生活污水处理设施（设计日处理能力100吨及以上）运行情况调查评估报告及设施现场情况报告。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开展西安市、铜川市、渭南市、商洛市农村生活污水处理设施现场调查评估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延安市、榆林市、宝鸡市、咸阳市、汉中市、安康市农村生活污水处理设施现场调查评估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卫星遥感监测开展陕西省农村地区黑臭水体排查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标的名称：开展西安市、铜川市、渭南市、商洛市农村生活污水处理设施现场调查评估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一、项目情况、项目要求、项目成果详见</w:t>
            </w:r>
            <w:r>
              <w:rPr>
                <w:rFonts w:ascii="仿宋_GB2312" w:hAnsi="仿宋_GB2312" w:cs="仿宋_GB2312" w:eastAsia="仿宋_GB2312"/>
              </w:rPr>
              <w:t>“采购项目概况”。</w:t>
            </w:r>
          </w:p>
          <w:p>
            <w:pPr>
              <w:pStyle w:val="null3"/>
            </w:pPr>
            <w:r>
              <w:rPr>
                <w:rFonts w:ascii="仿宋_GB2312" w:hAnsi="仿宋_GB2312" w:cs="仿宋_GB2312" w:eastAsia="仿宋_GB2312"/>
              </w:rPr>
              <w:t>二、采购内容：</w:t>
            </w:r>
          </w:p>
          <w:p>
            <w:pPr>
              <w:pStyle w:val="null3"/>
            </w:pPr>
            <w:r>
              <w:rPr>
                <w:rFonts w:ascii="仿宋_GB2312" w:hAnsi="仿宋_GB2312" w:cs="仿宋_GB2312" w:eastAsia="仿宋_GB2312"/>
              </w:rPr>
              <w:t>通过资料收集、现场调研、水体监测等方式，开展西安市、铜川市、渭南市、商洛市农村生活污水处理设施（设计日处理能力</w:t>
            </w:r>
            <w:r>
              <w:rPr>
                <w:rFonts w:ascii="仿宋_GB2312" w:hAnsi="仿宋_GB2312" w:cs="仿宋_GB2312" w:eastAsia="仿宋_GB2312"/>
              </w:rPr>
              <w:t>100</w:t>
            </w:r>
            <w:r>
              <w:rPr>
                <w:rFonts w:ascii="仿宋_GB2312" w:hAnsi="仿宋_GB2312" w:cs="仿宋_GB2312" w:eastAsia="仿宋_GB2312"/>
              </w:rPr>
              <w:t>吨及以上）现场调查评估工作（约</w:t>
            </w:r>
            <w:r>
              <w:rPr>
                <w:rFonts w:ascii="仿宋_GB2312" w:hAnsi="仿宋_GB2312" w:cs="仿宋_GB2312" w:eastAsia="仿宋_GB2312"/>
              </w:rPr>
              <w:t>609</w:t>
            </w:r>
            <w:r>
              <w:rPr>
                <w:rFonts w:ascii="仿宋_GB2312" w:hAnsi="仿宋_GB2312" w:cs="仿宋_GB2312" w:eastAsia="仿宋_GB2312"/>
              </w:rPr>
              <w:t>个设施），编制陕西省西安市、铜川市、渭南市、商洛市农村生活污水处理设施（设计日处理能力</w:t>
            </w:r>
            <w:r>
              <w:rPr>
                <w:rFonts w:ascii="仿宋_GB2312" w:hAnsi="仿宋_GB2312" w:cs="仿宋_GB2312" w:eastAsia="仿宋_GB2312"/>
              </w:rPr>
              <w:t>100</w:t>
            </w:r>
            <w:r>
              <w:rPr>
                <w:rFonts w:ascii="仿宋_GB2312" w:hAnsi="仿宋_GB2312" w:cs="仿宋_GB2312" w:eastAsia="仿宋_GB2312"/>
              </w:rPr>
              <w:t>吨及以上）运行情况调查评估报告。</w:t>
            </w:r>
          </w:p>
          <w:p>
            <w:pPr>
              <w:pStyle w:val="null3"/>
            </w:pPr>
            <w:r>
              <w:rPr>
                <w:rFonts w:ascii="仿宋_GB2312" w:hAnsi="仿宋_GB2312" w:cs="仿宋_GB2312" w:eastAsia="仿宋_GB2312"/>
              </w:rPr>
              <w:t>三、</w:t>
            </w:r>
            <w:r>
              <w:rPr>
                <w:rFonts w:ascii="仿宋_GB2312" w:hAnsi="仿宋_GB2312" w:cs="仿宋_GB2312" w:eastAsia="仿宋_GB2312"/>
              </w:rPr>
              <w:t>商务</w:t>
            </w:r>
            <w:r>
              <w:rPr>
                <w:rFonts w:ascii="仿宋_GB2312" w:hAnsi="仿宋_GB2312" w:cs="仿宋_GB2312" w:eastAsia="仿宋_GB2312"/>
              </w:rPr>
              <w:t>要求：</w:t>
            </w:r>
          </w:p>
          <w:p>
            <w:pPr>
              <w:pStyle w:val="null3"/>
            </w:pPr>
            <w:r>
              <w:rPr>
                <w:rFonts w:ascii="仿宋_GB2312" w:hAnsi="仿宋_GB2312" w:cs="仿宋_GB2312" w:eastAsia="仿宋_GB2312"/>
              </w:rPr>
              <w:t>1.</w:t>
            </w:r>
            <w:r>
              <w:rPr>
                <w:rFonts w:ascii="仿宋_GB2312" w:hAnsi="仿宋_GB2312" w:cs="仿宋_GB2312" w:eastAsia="仿宋_GB2312"/>
              </w:rPr>
              <w:t>受委托的专业机构及其工作人员对其在调查工作中所知悉的国家秘密、商业秘密和技术秘密负有保密义务，并制定实施相应的保密规定，落实保密责任。</w:t>
            </w:r>
          </w:p>
          <w:p>
            <w:pPr>
              <w:pStyle w:val="null3"/>
            </w:pPr>
            <w:r>
              <w:rPr>
                <w:rFonts w:ascii="仿宋_GB2312" w:hAnsi="仿宋_GB2312" w:cs="仿宋_GB2312" w:eastAsia="仿宋_GB2312"/>
              </w:rPr>
              <w:t>2.</w:t>
            </w:r>
            <w:r>
              <w:rPr>
                <w:rFonts w:ascii="仿宋_GB2312" w:hAnsi="仿宋_GB2312" w:cs="仿宋_GB2312" w:eastAsia="仿宋_GB2312"/>
              </w:rPr>
              <w:t>专人负责制，配备项目负责人一名，技术人员不少于五名，以上人员不重复计算。</w:t>
            </w:r>
          </w:p>
          <w:p>
            <w:pPr>
              <w:pStyle w:val="null3"/>
            </w:pPr>
            <w:r>
              <w:rPr>
                <w:rFonts w:ascii="仿宋_GB2312" w:hAnsi="仿宋_GB2312" w:cs="仿宋_GB2312" w:eastAsia="仿宋_GB2312"/>
              </w:rPr>
              <w:t>四</w:t>
            </w:r>
            <w:r>
              <w:rPr>
                <w:rFonts w:ascii="仿宋_GB2312" w:hAnsi="仿宋_GB2312" w:cs="仿宋_GB2312" w:eastAsia="仿宋_GB2312"/>
              </w:rPr>
              <w:t>、技术要求：</w:t>
            </w:r>
          </w:p>
          <w:p>
            <w:pPr>
              <w:pStyle w:val="null3"/>
            </w:pPr>
            <w:r>
              <w:rPr>
                <w:rFonts w:ascii="仿宋_GB2312" w:hAnsi="仿宋_GB2312" w:cs="仿宋_GB2312" w:eastAsia="仿宋_GB2312"/>
              </w:rPr>
              <w:t>1.</w:t>
            </w:r>
            <w:r>
              <w:rPr>
                <w:rFonts w:ascii="仿宋_GB2312" w:hAnsi="仿宋_GB2312" w:cs="仿宋_GB2312" w:eastAsia="仿宋_GB2312"/>
              </w:rPr>
              <w:t>具有相关专业知识、技能，通过资料收集、现场调研、水体监测等方式对</w:t>
            </w:r>
            <w:r>
              <w:rPr>
                <w:rFonts w:ascii="仿宋_GB2312" w:hAnsi="仿宋_GB2312" w:cs="仿宋_GB2312" w:eastAsia="仿宋_GB2312"/>
              </w:rPr>
              <w:t>农村生活污水处理设施（设计日处理能力</w:t>
            </w:r>
            <w:r>
              <w:rPr>
                <w:rFonts w:ascii="仿宋_GB2312" w:hAnsi="仿宋_GB2312" w:cs="仿宋_GB2312" w:eastAsia="仿宋_GB2312"/>
              </w:rPr>
              <w:t>100</w:t>
            </w:r>
            <w:r>
              <w:rPr>
                <w:rFonts w:ascii="仿宋_GB2312" w:hAnsi="仿宋_GB2312" w:cs="仿宋_GB2312" w:eastAsia="仿宋_GB2312"/>
              </w:rPr>
              <w:t>吨及以上）进行现场调查评估</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农村生活污水处理设施监测指标包含：</w:t>
            </w:r>
            <w:r>
              <w:rPr>
                <w:rFonts w:ascii="仿宋_GB2312" w:hAnsi="仿宋_GB2312" w:cs="仿宋_GB2312" w:eastAsia="仿宋_GB2312"/>
              </w:rPr>
              <w:t>pH</w:t>
            </w:r>
            <w:r>
              <w:rPr>
                <w:rFonts w:ascii="仿宋_GB2312" w:hAnsi="仿宋_GB2312" w:cs="仿宋_GB2312" w:eastAsia="仿宋_GB2312"/>
              </w:rPr>
              <w:t>、化学需氧量（</w:t>
            </w:r>
            <w:r>
              <w:rPr>
                <w:rFonts w:ascii="仿宋_GB2312" w:hAnsi="仿宋_GB2312" w:cs="仿宋_GB2312" w:eastAsia="仿宋_GB2312"/>
              </w:rPr>
              <w:t>COD</w:t>
            </w:r>
            <w:r>
              <w:rPr>
                <w:rFonts w:ascii="仿宋_GB2312" w:hAnsi="仿宋_GB2312" w:cs="仿宋_GB2312" w:eastAsia="仿宋_GB2312"/>
              </w:rPr>
              <w:t>）、悬浮物（</w:t>
            </w:r>
            <w:r>
              <w:rPr>
                <w:rFonts w:ascii="仿宋_GB2312" w:hAnsi="仿宋_GB2312" w:cs="仿宋_GB2312" w:eastAsia="仿宋_GB2312"/>
              </w:rPr>
              <w:t>SS</w:t>
            </w:r>
            <w:r>
              <w:rPr>
                <w:rFonts w:ascii="仿宋_GB2312" w:hAnsi="仿宋_GB2312" w:cs="仿宋_GB2312" w:eastAsia="仿宋_GB2312"/>
              </w:rPr>
              <w:t>）、总磷、氨氮、动植物油、总氮</w:t>
            </w:r>
            <w:r>
              <w:rPr>
                <w:rFonts w:ascii="仿宋_GB2312" w:hAnsi="仿宋_GB2312" w:cs="仿宋_GB2312" w:eastAsia="仿宋_GB2312"/>
              </w:rPr>
              <w:t>7</w:t>
            </w:r>
            <w:r>
              <w:rPr>
                <w:rFonts w:ascii="仿宋_GB2312" w:hAnsi="仿宋_GB2312" w:cs="仿宋_GB2312" w:eastAsia="仿宋_GB2312"/>
              </w:rPr>
              <w:t>项。</w:t>
            </w:r>
          </w:p>
          <w:p>
            <w:pPr>
              <w:pStyle w:val="null3"/>
            </w:pPr>
            <w:r>
              <w:rPr>
                <w:rFonts w:ascii="仿宋_GB2312" w:hAnsi="仿宋_GB2312" w:cs="仿宋_GB2312" w:eastAsia="仿宋_GB2312"/>
              </w:rPr>
              <w:t>3.</w:t>
            </w:r>
            <w:r>
              <w:rPr>
                <w:rFonts w:ascii="仿宋_GB2312" w:hAnsi="仿宋_GB2312" w:cs="仿宋_GB2312" w:eastAsia="仿宋_GB2312"/>
              </w:rPr>
              <w:t>严格按照《农村环境整治成效评估工作方案（修订）》（环办土壤函〔</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527</w:t>
            </w:r>
            <w:r>
              <w:rPr>
                <w:rFonts w:ascii="仿宋_GB2312" w:hAnsi="仿宋_GB2312" w:cs="仿宋_GB2312" w:eastAsia="仿宋_GB2312"/>
              </w:rPr>
              <w:t>号）、《关于进一步推进农村生活污水治理的指导意见》（环办土壤〔</w:t>
            </w:r>
            <w:r>
              <w:rPr>
                <w:rFonts w:ascii="仿宋_GB2312" w:hAnsi="仿宋_GB2312" w:cs="仿宋_GB2312" w:eastAsia="仿宋_GB2312"/>
              </w:rPr>
              <w:t>2023</w:t>
            </w: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号）、《农村黑臭水体治理工作指南》（环办土壤〔</w:t>
            </w:r>
            <w:r>
              <w:rPr>
                <w:rFonts w:ascii="仿宋_GB2312" w:hAnsi="仿宋_GB2312" w:cs="仿宋_GB2312" w:eastAsia="仿宋_GB2312"/>
              </w:rPr>
              <w:t>2023</w:t>
            </w:r>
            <w:r>
              <w:rPr>
                <w:rFonts w:ascii="仿宋_GB2312" w:hAnsi="仿宋_GB2312" w:cs="仿宋_GB2312" w:eastAsia="仿宋_GB2312"/>
              </w:rPr>
              <w:t>〕</w:t>
            </w:r>
            <w:r>
              <w:rPr>
                <w:rFonts w:ascii="仿宋_GB2312" w:hAnsi="仿宋_GB2312" w:cs="仿宋_GB2312" w:eastAsia="仿宋_GB2312"/>
              </w:rPr>
              <w:t>23</w:t>
            </w:r>
            <w:r>
              <w:rPr>
                <w:rFonts w:ascii="仿宋_GB2312" w:hAnsi="仿宋_GB2312" w:cs="仿宋_GB2312" w:eastAsia="仿宋_GB2312"/>
              </w:rPr>
              <w:t>号）、《污水监测技术规规范》（</w:t>
            </w:r>
            <w:r>
              <w:rPr>
                <w:rFonts w:ascii="仿宋_GB2312" w:hAnsi="仿宋_GB2312" w:cs="仿宋_GB2312" w:eastAsia="仿宋_GB2312"/>
              </w:rPr>
              <w:t>HJ 91.1-2019</w:t>
            </w:r>
            <w:r>
              <w:rPr>
                <w:rFonts w:ascii="仿宋_GB2312" w:hAnsi="仿宋_GB2312" w:cs="仿宋_GB2312" w:eastAsia="仿宋_GB2312"/>
              </w:rPr>
              <w:t>）等相关技术要求实施。</w:t>
            </w:r>
          </w:p>
          <w:p>
            <w:pPr>
              <w:pStyle w:val="null3"/>
            </w:pPr>
            <w:r>
              <w:rPr>
                <w:rFonts w:ascii="仿宋_GB2312" w:hAnsi="仿宋_GB2312" w:cs="仿宋_GB2312" w:eastAsia="仿宋_GB2312"/>
              </w:rPr>
              <w:t>五、项目成果</w:t>
            </w:r>
          </w:p>
          <w:p>
            <w:pPr>
              <w:pStyle w:val="null3"/>
              <w:jc w:val="both"/>
            </w:pPr>
            <w:r>
              <w:rPr>
                <w:rFonts w:ascii="仿宋_GB2312" w:hAnsi="仿宋_GB2312" w:cs="仿宋_GB2312" w:eastAsia="仿宋_GB2312"/>
              </w:rPr>
              <w:t>形成各市《农村生活污水处理设施（设计日处理能力100吨及以上）运行情况调查评估报告》及相关设施现场情况报告数据、资料等，并通过甲方组织的验收。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标的名称：延安市、榆林市、宝鸡市、咸阳市、汉中市、安康市农村生活污水处理设施现场调查评估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一、项目情况、项目要求、项目成果详见</w:t>
            </w:r>
            <w:r>
              <w:rPr>
                <w:rFonts w:ascii="仿宋_GB2312" w:hAnsi="仿宋_GB2312" w:cs="仿宋_GB2312" w:eastAsia="仿宋_GB2312"/>
              </w:rPr>
              <w:t>“采购项目概况”。</w:t>
            </w:r>
          </w:p>
          <w:p>
            <w:pPr>
              <w:pStyle w:val="null3"/>
            </w:pPr>
            <w:r>
              <w:rPr>
                <w:rFonts w:ascii="仿宋_GB2312" w:hAnsi="仿宋_GB2312" w:cs="仿宋_GB2312" w:eastAsia="仿宋_GB2312"/>
              </w:rPr>
              <w:t>二、采购内容：</w:t>
            </w:r>
          </w:p>
          <w:p>
            <w:pPr>
              <w:pStyle w:val="null3"/>
            </w:pPr>
            <w:r>
              <w:rPr>
                <w:rFonts w:ascii="仿宋_GB2312" w:hAnsi="仿宋_GB2312" w:cs="仿宋_GB2312" w:eastAsia="仿宋_GB2312"/>
              </w:rPr>
              <w:t>通过资料收集、现场调研、水体监测等方式，开展延安市、榆林市、宝鸡市、咸阳市、汉中市、安康市农村生活污水处理设施（设计日处理能力</w:t>
            </w:r>
            <w:r>
              <w:rPr>
                <w:rFonts w:ascii="仿宋_GB2312" w:hAnsi="仿宋_GB2312" w:cs="仿宋_GB2312" w:eastAsia="仿宋_GB2312"/>
              </w:rPr>
              <w:t>100</w:t>
            </w:r>
            <w:r>
              <w:rPr>
                <w:rFonts w:ascii="仿宋_GB2312" w:hAnsi="仿宋_GB2312" w:cs="仿宋_GB2312" w:eastAsia="仿宋_GB2312"/>
              </w:rPr>
              <w:t>吨及以上）现场调查评估工作（约</w:t>
            </w:r>
            <w:r>
              <w:rPr>
                <w:rFonts w:ascii="仿宋_GB2312" w:hAnsi="仿宋_GB2312" w:cs="仿宋_GB2312" w:eastAsia="仿宋_GB2312"/>
              </w:rPr>
              <w:t>464</w:t>
            </w:r>
            <w:r>
              <w:rPr>
                <w:rFonts w:ascii="仿宋_GB2312" w:hAnsi="仿宋_GB2312" w:cs="仿宋_GB2312" w:eastAsia="仿宋_GB2312"/>
              </w:rPr>
              <w:t>个设施），编制陕西省延安市、榆林市、宝鸡市、咸阳市、汉中市、安康市农村生活污水处理设施（设计日处理能力</w:t>
            </w:r>
            <w:r>
              <w:rPr>
                <w:rFonts w:ascii="仿宋_GB2312" w:hAnsi="仿宋_GB2312" w:cs="仿宋_GB2312" w:eastAsia="仿宋_GB2312"/>
              </w:rPr>
              <w:t>100</w:t>
            </w:r>
            <w:r>
              <w:rPr>
                <w:rFonts w:ascii="仿宋_GB2312" w:hAnsi="仿宋_GB2312" w:cs="仿宋_GB2312" w:eastAsia="仿宋_GB2312"/>
              </w:rPr>
              <w:t>吨及以上）运行情况调查评估报告。</w:t>
            </w:r>
          </w:p>
          <w:p>
            <w:pPr>
              <w:pStyle w:val="null3"/>
            </w:pPr>
            <w:r>
              <w:rPr>
                <w:rFonts w:ascii="仿宋_GB2312" w:hAnsi="仿宋_GB2312" w:cs="仿宋_GB2312" w:eastAsia="仿宋_GB2312"/>
              </w:rPr>
              <w:t>三、</w:t>
            </w:r>
            <w:r>
              <w:rPr>
                <w:rFonts w:ascii="仿宋_GB2312" w:hAnsi="仿宋_GB2312" w:cs="仿宋_GB2312" w:eastAsia="仿宋_GB2312"/>
              </w:rPr>
              <w:t>商务</w:t>
            </w:r>
            <w:r>
              <w:rPr>
                <w:rFonts w:ascii="仿宋_GB2312" w:hAnsi="仿宋_GB2312" w:cs="仿宋_GB2312" w:eastAsia="仿宋_GB2312"/>
              </w:rPr>
              <w:t>要求：</w:t>
            </w:r>
          </w:p>
          <w:p>
            <w:pPr>
              <w:pStyle w:val="null3"/>
            </w:pPr>
            <w:r>
              <w:rPr>
                <w:rFonts w:ascii="仿宋_GB2312" w:hAnsi="仿宋_GB2312" w:cs="仿宋_GB2312" w:eastAsia="仿宋_GB2312"/>
              </w:rPr>
              <w:t>1.</w:t>
            </w:r>
            <w:r>
              <w:rPr>
                <w:rFonts w:ascii="仿宋_GB2312" w:hAnsi="仿宋_GB2312" w:cs="仿宋_GB2312" w:eastAsia="仿宋_GB2312"/>
              </w:rPr>
              <w:t>受委托的专业机构及其工作人员对其在调查工作中所知悉的国家秘密、商业秘密和技术秘密负有保密义务， 并制定实施相应的保密规定，落实保密责任。</w:t>
            </w:r>
          </w:p>
          <w:p>
            <w:pPr>
              <w:pStyle w:val="null3"/>
            </w:pPr>
            <w:r>
              <w:rPr>
                <w:rFonts w:ascii="仿宋_GB2312" w:hAnsi="仿宋_GB2312" w:cs="仿宋_GB2312" w:eastAsia="仿宋_GB2312"/>
              </w:rPr>
              <w:t>2.</w:t>
            </w:r>
            <w:r>
              <w:rPr>
                <w:rFonts w:ascii="仿宋_GB2312" w:hAnsi="仿宋_GB2312" w:cs="仿宋_GB2312" w:eastAsia="仿宋_GB2312"/>
              </w:rPr>
              <w:t>专人负责制，配备项目负责人一名，技术人员不少于五名，以上人员不重复计算。</w:t>
            </w:r>
          </w:p>
          <w:p>
            <w:pPr>
              <w:pStyle w:val="null3"/>
            </w:pPr>
            <w:r>
              <w:rPr>
                <w:rFonts w:ascii="仿宋_GB2312" w:hAnsi="仿宋_GB2312" w:cs="仿宋_GB2312" w:eastAsia="仿宋_GB2312"/>
              </w:rPr>
              <w:t>四</w:t>
            </w:r>
            <w:r>
              <w:rPr>
                <w:rFonts w:ascii="仿宋_GB2312" w:hAnsi="仿宋_GB2312" w:cs="仿宋_GB2312" w:eastAsia="仿宋_GB2312"/>
              </w:rPr>
              <w:t>、技术要求：</w:t>
            </w:r>
          </w:p>
          <w:p>
            <w:pPr>
              <w:pStyle w:val="null3"/>
            </w:pPr>
            <w:r>
              <w:rPr>
                <w:rFonts w:ascii="仿宋_GB2312" w:hAnsi="仿宋_GB2312" w:cs="仿宋_GB2312" w:eastAsia="仿宋_GB2312"/>
              </w:rPr>
              <w:t>1.</w:t>
            </w:r>
            <w:r>
              <w:rPr>
                <w:rFonts w:ascii="仿宋_GB2312" w:hAnsi="仿宋_GB2312" w:cs="仿宋_GB2312" w:eastAsia="仿宋_GB2312"/>
              </w:rPr>
              <w:t>具有相关专业知识、技能，通过资料收集、现场调研、水体监测等方式对</w:t>
            </w:r>
            <w:r>
              <w:rPr>
                <w:rFonts w:ascii="仿宋_GB2312" w:hAnsi="仿宋_GB2312" w:cs="仿宋_GB2312" w:eastAsia="仿宋_GB2312"/>
              </w:rPr>
              <w:t>农村生活污水处理设施（设计日处理能力</w:t>
            </w:r>
            <w:r>
              <w:rPr>
                <w:rFonts w:ascii="仿宋_GB2312" w:hAnsi="仿宋_GB2312" w:cs="仿宋_GB2312" w:eastAsia="仿宋_GB2312"/>
              </w:rPr>
              <w:t>100</w:t>
            </w:r>
            <w:r>
              <w:rPr>
                <w:rFonts w:ascii="仿宋_GB2312" w:hAnsi="仿宋_GB2312" w:cs="仿宋_GB2312" w:eastAsia="仿宋_GB2312"/>
              </w:rPr>
              <w:t>吨及以上）进行现场调查评估</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农村生活污水处理设施监测指标包含：</w:t>
            </w:r>
            <w:r>
              <w:rPr>
                <w:rFonts w:ascii="仿宋_GB2312" w:hAnsi="仿宋_GB2312" w:cs="仿宋_GB2312" w:eastAsia="仿宋_GB2312"/>
              </w:rPr>
              <w:t>pH</w:t>
            </w:r>
            <w:r>
              <w:rPr>
                <w:rFonts w:ascii="仿宋_GB2312" w:hAnsi="仿宋_GB2312" w:cs="仿宋_GB2312" w:eastAsia="仿宋_GB2312"/>
              </w:rPr>
              <w:t>、化学需氧量（</w:t>
            </w:r>
            <w:r>
              <w:rPr>
                <w:rFonts w:ascii="仿宋_GB2312" w:hAnsi="仿宋_GB2312" w:cs="仿宋_GB2312" w:eastAsia="仿宋_GB2312"/>
              </w:rPr>
              <w:t>COD</w:t>
            </w:r>
            <w:r>
              <w:rPr>
                <w:rFonts w:ascii="仿宋_GB2312" w:hAnsi="仿宋_GB2312" w:cs="仿宋_GB2312" w:eastAsia="仿宋_GB2312"/>
              </w:rPr>
              <w:t>）、悬浮物（</w:t>
            </w:r>
            <w:r>
              <w:rPr>
                <w:rFonts w:ascii="仿宋_GB2312" w:hAnsi="仿宋_GB2312" w:cs="仿宋_GB2312" w:eastAsia="仿宋_GB2312"/>
              </w:rPr>
              <w:t>SS</w:t>
            </w:r>
            <w:r>
              <w:rPr>
                <w:rFonts w:ascii="仿宋_GB2312" w:hAnsi="仿宋_GB2312" w:cs="仿宋_GB2312" w:eastAsia="仿宋_GB2312"/>
              </w:rPr>
              <w:t>）、总磷、氨氮、动植物油 、总氮</w:t>
            </w:r>
            <w:r>
              <w:rPr>
                <w:rFonts w:ascii="仿宋_GB2312" w:hAnsi="仿宋_GB2312" w:cs="仿宋_GB2312" w:eastAsia="仿宋_GB2312"/>
              </w:rPr>
              <w:t>7</w:t>
            </w:r>
            <w:r>
              <w:rPr>
                <w:rFonts w:ascii="仿宋_GB2312" w:hAnsi="仿宋_GB2312" w:cs="仿宋_GB2312" w:eastAsia="仿宋_GB2312"/>
              </w:rPr>
              <w:t>项。</w:t>
            </w:r>
          </w:p>
          <w:p>
            <w:pPr>
              <w:pStyle w:val="null3"/>
            </w:pPr>
            <w:r>
              <w:rPr>
                <w:rFonts w:ascii="仿宋_GB2312" w:hAnsi="仿宋_GB2312" w:cs="仿宋_GB2312" w:eastAsia="仿宋_GB2312"/>
              </w:rPr>
              <w:t>3.</w:t>
            </w:r>
            <w:r>
              <w:rPr>
                <w:rFonts w:ascii="仿宋_GB2312" w:hAnsi="仿宋_GB2312" w:cs="仿宋_GB2312" w:eastAsia="仿宋_GB2312"/>
              </w:rPr>
              <w:t>严格按照《农村环境整治成效评估工作方案（修订）》（环办土壤函〔</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527</w:t>
            </w:r>
            <w:r>
              <w:rPr>
                <w:rFonts w:ascii="仿宋_GB2312" w:hAnsi="仿宋_GB2312" w:cs="仿宋_GB2312" w:eastAsia="仿宋_GB2312"/>
              </w:rPr>
              <w:t>号）、《关于进一步推进农村生活污水治理的指导意见》（环办土壤〔</w:t>
            </w:r>
            <w:r>
              <w:rPr>
                <w:rFonts w:ascii="仿宋_GB2312" w:hAnsi="仿宋_GB2312" w:cs="仿宋_GB2312" w:eastAsia="仿宋_GB2312"/>
              </w:rPr>
              <w:t>2023</w:t>
            </w: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号）、《农村黑臭水体治理工作指南》（环办土壤〔</w:t>
            </w:r>
            <w:r>
              <w:rPr>
                <w:rFonts w:ascii="仿宋_GB2312" w:hAnsi="仿宋_GB2312" w:cs="仿宋_GB2312" w:eastAsia="仿宋_GB2312"/>
              </w:rPr>
              <w:t>2023</w:t>
            </w:r>
            <w:r>
              <w:rPr>
                <w:rFonts w:ascii="仿宋_GB2312" w:hAnsi="仿宋_GB2312" w:cs="仿宋_GB2312" w:eastAsia="仿宋_GB2312"/>
              </w:rPr>
              <w:t>〕</w:t>
            </w:r>
            <w:r>
              <w:rPr>
                <w:rFonts w:ascii="仿宋_GB2312" w:hAnsi="仿宋_GB2312" w:cs="仿宋_GB2312" w:eastAsia="仿宋_GB2312"/>
              </w:rPr>
              <w:t>23</w:t>
            </w:r>
            <w:r>
              <w:rPr>
                <w:rFonts w:ascii="仿宋_GB2312" w:hAnsi="仿宋_GB2312" w:cs="仿宋_GB2312" w:eastAsia="仿宋_GB2312"/>
              </w:rPr>
              <w:t>号）、《污水监测技术规规范》（</w:t>
            </w:r>
            <w:r>
              <w:rPr>
                <w:rFonts w:ascii="仿宋_GB2312" w:hAnsi="仿宋_GB2312" w:cs="仿宋_GB2312" w:eastAsia="仿宋_GB2312"/>
              </w:rPr>
              <w:t>HJ 91.1-2019</w:t>
            </w:r>
            <w:r>
              <w:rPr>
                <w:rFonts w:ascii="仿宋_GB2312" w:hAnsi="仿宋_GB2312" w:cs="仿宋_GB2312" w:eastAsia="仿宋_GB2312"/>
              </w:rPr>
              <w:t>）等相关技术要求实施。</w:t>
            </w:r>
          </w:p>
          <w:p>
            <w:pPr>
              <w:pStyle w:val="null3"/>
            </w:pPr>
            <w:r>
              <w:rPr>
                <w:rFonts w:ascii="仿宋_GB2312" w:hAnsi="仿宋_GB2312" w:cs="仿宋_GB2312" w:eastAsia="仿宋_GB2312"/>
              </w:rPr>
              <w:t>五、项目成果</w:t>
            </w:r>
          </w:p>
          <w:p>
            <w:pPr>
              <w:pStyle w:val="null3"/>
              <w:jc w:val="both"/>
            </w:pPr>
            <w:r>
              <w:rPr>
                <w:rFonts w:ascii="仿宋_GB2312" w:hAnsi="仿宋_GB2312" w:cs="仿宋_GB2312" w:eastAsia="仿宋_GB2312"/>
              </w:rPr>
              <w:t>形成各市《农村生活污水处理设施（设计日处理能力100吨及以上）运行情况调查评估报告》及相关设施现场情况报告数据、资料等，并通过甲方组织的验收。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标的名称：卫星遥感监测开展陕西省农村地区黑臭水体排查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一、项目情况、项目要求、项目成果详见</w:t>
            </w:r>
            <w:r>
              <w:rPr>
                <w:rFonts w:ascii="仿宋_GB2312" w:hAnsi="仿宋_GB2312" w:cs="仿宋_GB2312" w:eastAsia="仿宋_GB2312"/>
              </w:rPr>
              <w:t>“采购项目概况”。</w:t>
            </w:r>
          </w:p>
          <w:p>
            <w:pPr>
              <w:pStyle w:val="null3"/>
            </w:pPr>
            <w:r>
              <w:rPr>
                <w:rFonts w:ascii="仿宋_GB2312" w:hAnsi="仿宋_GB2312" w:cs="仿宋_GB2312" w:eastAsia="仿宋_GB2312"/>
              </w:rPr>
              <w:t>二、采购内容：</w:t>
            </w:r>
          </w:p>
          <w:p>
            <w:pPr>
              <w:pStyle w:val="null3"/>
            </w:pPr>
            <w:r>
              <w:rPr>
                <w:rFonts w:ascii="仿宋_GB2312" w:hAnsi="仿宋_GB2312" w:cs="仿宋_GB2312" w:eastAsia="仿宋_GB2312"/>
              </w:rPr>
              <w:t>通过卫星遥感监测技术开展陕西省农村地区黑臭水体排查，形成农村黑臭水体矢量数据图斑及清单。</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w:t>
            </w:r>
            <w:r>
              <w:rPr>
                <w:rFonts w:ascii="仿宋_GB2312" w:hAnsi="仿宋_GB2312" w:cs="仿宋_GB2312" w:eastAsia="仿宋_GB2312"/>
              </w:rPr>
              <w:t>受委托的专业机构及其工作人员对其在调查工作中所知悉的国家秘密、商业秘密和技术秘密负有保密义务，并制定实施相应的保密规定，落实保密责任。</w:t>
            </w:r>
          </w:p>
          <w:p>
            <w:pPr>
              <w:pStyle w:val="null3"/>
            </w:pPr>
            <w:r>
              <w:rPr>
                <w:rFonts w:ascii="仿宋_GB2312" w:hAnsi="仿宋_GB2312" w:cs="仿宋_GB2312" w:eastAsia="仿宋_GB2312"/>
              </w:rPr>
              <w:t>2.</w:t>
            </w:r>
            <w:r>
              <w:rPr>
                <w:rFonts w:ascii="仿宋_GB2312" w:hAnsi="仿宋_GB2312" w:cs="仿宋_GB2312" w:eastAsia="仿宋_GB2312"/>
              </w:rPr>
              <w:t>专人负责制，配备项目负责人一名，技术人员不少于五名，以上人员不重复计算。</w:t>
            </w:r>
          </w:p>
          <w:p>
            <w:pPr>
              <w:pStyle w:val="null3"/>
            </w:pPr>
            <w:r>
              <w:rPr>
                <w:rFonts w:ascii="仿宋_GB2312" w:hAnsi="仿宋_GB2312" w:cs="仿宋_GB2312" w:eastAsia="仿宋_GB2312"/>
              </w:rPr>
              <w:t>四、技术要求</w:t>
            </w:r>
          </w:p>
          <w:p>
            <w:pPr>
              <w:pStyle w:val="null3"/>
            </w:pPr>
            <w:r>
              <w:rPr>
                <w:rFonts w:ascii="仿宋_GB2312" w:hAnsi="仿宋_GB2312" w:cs="仿宋_GB2312" w:eastAsia="仿宋_GB2312"/>
              </w:rPr>
              <w:t>1.</w:t>
            </w:r>
            <w:r>
              <w:rPr>
                <w:rFonts w:ascii="仿宋_GB2312" w:hAnsi="仿宋_GB2312" w:cs="仿宋_GB2312" w:eastAsia="仿宋_GB2312"/>
              </w:rPr>
              <w:t>具有卫星数据处理和黑臭水体信息提取的能力。</w:t>
            </w:r>
          </w:p>
          <w:p>
            <w:pPr>
              <w:pStyle w:val="null3"/>
            </w:pPr>
            <w:r>
              <w:rPr>
                <w:rFonts w:ascii="仿宋_GB2312" w:hAnsi="仿宋_GB2312" w:cs="仿宋_GB2312" w:eastAsia="仿宋_GB2312"/>
              </w:rPr>
              <w:t>2.</w:t>
            </w:r>
            <w:r>
              <w:rPr>
                <w:rFonts w:ascii="仿宋_GB2312" w:hAnsi="仿宋_GB2312" w:cs="仿宋_GB2312" w:eastAsia="仿宋_GB2312"/>
              </w:rPr>
              <w:t>严格按照《农村黑臭水体治理工作指南》（环办土壤〔</w:t>
            </w:r>
            <w:r>
              <w:rPr>
                <w:rFonts w:ascii="仿宋_GB2312" w:hAnsi="仿宋_GB2312" w:cs="仿宋_GB2312" w:eastAsia="仿宋_GB2312"/>
              </w:rPr>
              <w:t>2023</w:t>
            </w:r>
            <w:r>
              <w:rPr>
                <w:rFonts w:ascii="仿宋_GB2312" w:hAnsi="仿宋_GB2312" w:cs="仿宋_GB2312" w:eastAsia="仿宋_GB2312"/>
              </w:rPr>
              <w:t>〕</w:t>
            </w:r>
            <w:r>
              <w:rPr>
                <w:rFonts w:ascii="仿宋_GB2312" w:hAnsi="仿宋_GB2312" w:cs="仿宋_GB2312" w:eastAsia="仿宋_GB2312"/>
              </w:rPr>
              <w:t>23</w:t>
            </w:r>
            <w:r>
              <w:rPr>
                <w:rFonts w:ascii="仿宋_GB2312" w:hAnsi="仿宋_GB2312" w:cs="仿宋_GB2312" w:eastAsia="仿宋_GB2312"/>
              </w:rPr>
              <w:t>号）等相关技术要求实施。</w:t>
            </w:r>
          </w:p>
          <w:p>
            <w:pPr>
              <w:pStyle w:val="null3"/>
            </w:pPr>
            <w:r>
              <w:rPr>
                <w:rFonts w:ascii="仿宋_GB2312" w:hAnsi="仿宋_GB2312" w:cs="仿宋_GB2312" w:eastAsia="仿宋_GB2312"/>
              </w:rPr>
              <w:t>五、项目成果</w:t>
            </w:r>
          </w:p>
          <w:p>
            <w:pPr>
              <w:pStyle w:val="null3"/>
            </w:pPr>
            <w:r>
              <w:rPr>
                <w:rFonts w:ascii="仿宋_GB2312" w:hAnsi="仿宋_GB2312" w:cs="仿宋_GB2312" w:eastAsia="仿宋_GB2312"/>
              </w:rPr>
              <w:t>形成陕西省农村黑臭水体遥感排查问题清单并通过甲方组织的验收。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培训要求：采购人可以要求成交人对相关人员举行相关调研内容的培训。（二）其他要求：成交人要配合采购人的技术修改要求，提供技术答疑，可以按照要求提供技术性较强的调研报告。工作要及时开展，不能影响项目进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培训要求：采购人可以要求成交人对相关人员举行相关调研内容的培训。（二）其他要求：成交人要配合采购人的技术修改要求，提供技术答疑，可以按照要求提供技术性较强的调研报告。工作要及时开展，不能影响项目进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培训要求：采购人可以要求成交人对相关人员举行相关调研内容的培训。（二）其他要求：成交人要配合采购人的技术修改要求，提供技术答疑，可以按照要求提供技术性较强的调研报告。工作要及时开展，不能影响项目进度。</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自合同签订之日起180日。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自合同签订之日起180日。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（一）竞争性磋商文件、竞争性磋商响应文件； （二）本合同及附件文本； （三）合同签订时国家及行业现行的标准和技术规范。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（一）竞争性磋商文件、竞争性磋商响应文件； （二）本合同及附件文本； （三）合同签订时国家及行业现行的标准和技术规范。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（一）竞争性磋商文件、竞争性磋商响应文件； （二）本合同及附件文本； （三）合同签订时国家及行业现行的标准和技术规范。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合同签订后，在付款前，必须开具全额发票给甲方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完成现场调查评估后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通过甲方组织的项目验收后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合同签订后，在付款前，必须开具全额发票给甲方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完成现场调查评估后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通过甲方组织的项目验收后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合同签订后，在付款前，必须开具全额发票给甲方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完成现场调查评估后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通过甲方组织的项目验收后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照《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1.按照《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1.按照《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2.本项目非专门面向中小企业采购。3.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4.供应商需要在线提交所有通过电子化交易平台实施的政府采购项目的响应文件，同时，线下提交纸质响应文件正本一份、副本二份，电子版本一份（以U盘形式提供，文件格式包含.doc/.docx格式及正本盖章后扫描的.pdf格式），递交截止时间同在线递交电子响应文件截止时间一致。若电子响应文件与纸质响应文件不一致的，以纸质响应文件为准；若正本和副本不符，以正本为准。响应文件正、副本分别各自装订成册密封，在封口处加盖供应商公章。5.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6.供应商可同时参与多个合同包磋商，但合同包1和合同包2不能同时中标。本项目按照合同包顺序依次评审，若供应商在合同包1成为第一候选单位，则仍参与合同包2的评审，但不再被推荐为合同包2的成交候选人。合同包3的评审不受上述规定的影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近年（2024年）经审计的财务报告（事业法人可提供部门决算报告）或基本开户银行出具的资信证明或政府采购专业担保机构出具的磋商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近年（2024年）经审计的财务报告（事业法人可提供部门决算报告）或基本开户银行出具的资信证明或政府采购专业担保机构出具的磋商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近年（2024年）经审计的财务报告（事业法人可提供部门决算报告）或基本开户银行出具的资信证明或政府采购专业担保机构出具的磋商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技术响应部分.docx 供应商认为有必要说明的其他事项（如有）.docx 中小企业声明函 报价表 商务响应部分.docx 响应文件封面 相关资格证明资料.docx 残疾人福利性单位声明函 标的清单 法定代表人（或负责人）授权书.docx 响应函 监狱企业的证明文件 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提供有效的授权委托书及被授权人身份证（法定代表人、单位负责人或自然人直接投标的只需提交其身份证）。</w:t>
            </w:r>
          </w:p>
        </w:tc>
        <w:tc>
          <w:tcPr>
            <w:tcW w:type="dxa" w:w="1661"/>
          </w:tcPr>
          <w:p>
            <w:pPr>
              <w:pStyle w:val="null3"/>
            </w:pPr>
            <w:r>
              <w:rPr>
                <w:rFonts w:ascii="仿宋_GB2312" w:hAnsi="仿宋_GB2312" w:cs="仿宋_GB2312" w:eastAsia="仿宋_GB2312"/>
              </w:rPr>
              <w:t>法定代表人（或负责人）授权书.docx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响应服务期限及合同中规定的双方的权利和义务。</w:t>
            </w:r>
          </w:p>
        </w:tc>
        <w:tc>
          <w:tcPr>
            <w:tcW w:type="dxa" w:w="1661"/>
          </w:tcPr>
          <w:p>
            <w:pPr>
              <w:pStyle w:val="null3"/>
            </w:pPr>
            <w:r>
              <w:rPr>
                <w:rFonts w:ascii="仿宋_GB2312" w:hAnsi="仿宋_GB2312" w:cs="仿宋_GB2312" w:eastAsia="仿宋_GB2312"/>
              </w:rPr>
              <w:t>商务响应部分.docx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技术响应部分.docx 供应商认为有必要说明的其他事项（如有）.docx 中小企业声明函 报价表 商务响应部分.docx 响应文件封面 相关资格证明资料.docx 残疾人福利性单位声明函 标的清单 法定代表人（或负责人）授权书.docx 响应函 监狱企业的证明文件 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提供有效的授权委托书及被授权人身份证（法定代表人、单位负责人或自然人直接投标的只需提交其身份证）。</w:t>
            </w:r>
          </w:p>
        </w:tc>
        <w:tc>
          <w:tcPr>
            <w:tcW w:type="dxa" w:w="1661"/>
          </w:tcPr>
          <w:p>
            <w:pPr>
              <w:pStyle w:val="null3"/>
            </w:pPr>
            <w:r>
              <w:rPr>
                <w:rFonts w:ascii="仿宋_GB2312" w:hAnsi="仿宋_GB2312" w:cs="仿宋_GB2312" w:eastAsia="仿宋_GB2312"/>
              </w:rPr>
              <w:t>法定代表人（或负责人）授权书.docx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响应服务期限及合同中规定的双方的权利和义务。</w:t>
            </w:r>
          </w:p>
        </w:tc>
        <w:tc>
          <w:tcPr>
            <w:tcW w:type="dxa" w:w="1661"/>
          </w:tcPr>
          <w:p>
            <w:pPr>
              <w:pStyle w:val="null3"/>
            </w:pPr>
            <w:r>
              <w:rPr>
                <w:rFonts w:ascii="仿宋_GB2312" w:hAnsi="仿宋_GB2312" w:cs="仿宋_GB2312" w:eastAsia="仿宋_GB2312"/>
              </w:rPr>
              <w:t>商务响应部分.docx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技术响应部分.docx 供应商认为有必要说明的其他事项（如有）.docx 中小企业声明函 报价表 商务响应部分.docx 响应文件封面 相关资格证明资料.docx 残疾人福利性单位声明函 标的清单 法定代表人（或负责人）授权书.docx 响应函 监狱企业的证明文件 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提供有效的授权委托书及被授权人身份证（法定代表人、单位负责人或自然人直接投标的只需提交其身份证）。</w:t>
            </w:r>
          </w:p>
        </w:tc>
        <w:tc>
          <w:tcPr>
            <w:tcW w:type="dxa" w:w="1661"/>
          </w:tcPr>
          <w:p>
            <w:pPr>
              <w:pStyle w:val="null3"/>
            </w:pPr>
            <w:r>
              <w:rPr>
                <w:rFonts w:ascii="仿宋_GB2312" w:hAnsi="仿宋_GB2312" w:cs="仿宋_GB2312" w:eastAsia="仿宋_GB2312"/>
              </w:rPr>
              <w:t>法定代表人（或负责人）授权书.docx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响应服务期限及合同中规定的双方的权利和义务。</w:t>
            </w:r>
          </w:p>
        </w:tc>
        <w:tc>
          <w:tcPr>
            <w:tcW w:type="dxa" w:w="1661"/>
          </w:tcPr>
          <w:p>
            <w:pPr>
              <w:pStyle w:val="null3"/>
            </w:pPr>
            <w:r>
              <w:rPr>
                <w:rFonts w:ascii="仿宋_GB2312" w:hAnsi="仿宋_GB2312" w:cs="仿宋_GB2312" w:eastAsia="仿宋_GB2312"/>
              </w:rPr>
              <w:t>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需求理解与定位</w:t>
            </w:r>
          </w:p>
        </w:tc>
        <w:tc>
          <w:tcPr>
            <w:tcW w:type="dxa" w:w="2492"/>
          </w:tcPr>
          <w:p>
            <w:pPr>
              <w:pStyle w:val="null3"/>
            </w:pPr>
            <w:r>
              <w:rPr>
                <w:rFonts w:ascii="仿宋_GB2312" w:hAnsi="仿宋_GB2312" w:cs="仿宋_GB2312" w:eastAsia="仿宋_GB2312"/>
              </w:rPr>
              <w:t>（1）需求理解（0-9分）一、评审内容：①项目的实施背景理解；②工作目的目标理解；③相关政策及发展动向。二、评审标准：1、完整性：内容全面，对评审内容中的各项要求有详细描述；2、可行性：切合本标段实际情况，提出步骤清晰的方案；3、针对性：紧扣项目实际情况需求，内容切实合理。三、赋分标准：①项目的实施背景理解：每完全满足一个评审标准得1分，满分3分；②工作目的目标理解：每完全满足一个评审标准得1分，满分3分；③相关政策及发展动向：每完全满足一个评审标准得1分，满分3分。（2）根据理解定位，做出的服务标准及服务优势说明，得1分，未提供不得分。（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总体框架及计划；②技术思路及方法；③关键点、重难点分析；④服务理念及特色。二、评审标准：1、完整性：内容全面，对评审内容中的各项要求有详细描述；2、可行性：切合本标段实际情况，提出步骤清晰的方案；3、针对性：紧扣项目实际情况需求，内容切实合理；4、专业性：逻辑性强，具有技术含量、技术水准。三、赋分标准：①总体框架及计划：每完全满足一个评审标准得1分，满分4分；②技术思路及方法：每完全满足一个评审标准得1分，满分4分；③关键点、重难点分析：每完全满足一个评审标准得1分，满分4分；④服务理念及特色：每完全满足一个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一、评审内容：①具有针对本项目质量管理制度；②质量保障措施；③内部管控流程合理。二、评审标准：1、完整性：内容全面，对评审内容中的各项要求有详细描述；2、可行性：切合本标段实际情况，提出步骤清晰的方案；3、针对性：紧扣项目实际情况需求，内容切实合理。三、赋分标准：①具有针对本项目质量管理制度：每完全满足一个评审标准得1分，满分3分；②质量保障措施：每完全满足一个评审标准得1分，满分3分；③内部管控流程：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具备质量、环境管理体系认证证书的每提供以上一项得0.5分，最高得1分。（以磋商响应文件中证书加盖公章的扫描件为准，未提供不得分）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一、评审内容：①进度的保障措施；②突发状况应急预案。二、评审标准：1、完整性：内容全面，对评审内容中的各项要求有详细描述；2、可行性：切合本标段实际情况，提出步骤清晰的方案；3、针对性：紧扣项目实际情况需求，内容切实合理。三、赋分标准：①进度的保障措施：每完全满足一个评审标准得1分，满分3分；②突发状况应急预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保密廉洁</w:t>
            </w:r>
          </w:p>
        </w:tc>
        <w:tc>
          <w:tcPr>
            <w:tcW w:type="dxa" w:w="2492"/>
          </w:tcPr>
          <w:p>
            <w:pPr>
              <w:pStyle w:val="null3"/>
            </w:pPr>
            <w:r>
              <w:rPr>
                <w:rFonts w:ascii="仿宋_GB2312" w:hAnsi="仿宋_GB2312" w:cs="仿宋_GB2312" w:eastAsia="仿宋_GB2312"/>
              </w:rPr>
              <w:t>一、评审内容：①保密制度及措施；②廉洁制度及措施。二、评审标准：1、完整性：内容全面，对评审内容中的各项要求有详细描述；2、可行性：切合本标段实际情况，提出步骤清晰的方案；3、针对性：紧扣项目实际情况需求，内容切实合理。三、赋分标准：①保密制度及措施：每完全满足一个评审标准得1分，满分3分；②廉洁制度及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组织架构及职责划分。二、赋分标准：1、组织架构完整，岗位设置合理、明确，提供拟派团队的组织架构图、岗位分工说明及具体的项目组成员名单的，得4分；2、组织架构较为完整，岗位设置较为合理，提供拟派团队的组织架构图、岗位分工说明及具体的项目组成员名单的，3分；3、组织架构、岗位设置能够基本满足本项目采购要求，提供拟派团队的组织架构图或岗位分工说明或具体的项目组成员名单的得2分；4、组织架构、岗位设置不够合理的，得1分；5、无组织架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设立专人负责制，拟派项目负责人具有环境工程类专业高级职称的，得3.5分；具有环境工程类专业中级职称的，得1分；其余不得分。2、拟派团队成员（除项目负责人外）具有环境工程类专业高级职称的，每提供一人得1分，具有环境工程类专业中级职称的，每提供一人得0.5分，本项最高得5分。3、拟派团队总人数10人或以上得2.5分；8-9人得2分；6-7人得1.5分；其余不得分。（以磋商响应文件中学历证书、职称证书及该成员在供应商供职的相关证明资料扫描件为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1、针对本项目提供监测设备，列有详细的设备清单（内容体现包括但不限于：生产厂家、规格型号、数量等），得2分，上述信息不齐全的得1分，不提供不得分。2、设备具有针对性得2分；先进性得1分；全面性得1分。本项最高得4分。3、清单后附设备照片或购置发票等能证明设备归属的材料，每提供一个设备的相关证明资料得1分，本项最高得4分。（以响应文件中设备照片或购置发票等能证明设备归属的材料扫描件为准，计量仪器需提供有效期内检定/校准证书，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具有切实可行的后期支持服务方案及承诺。1、明确服务范围得2分；2、方案描述具体可行的得3分，不够具体的得1分；3、明确响应时间得2分；4、提供技术服务联系人及联系方式得2分。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为准）具有类似调查评估项目业绩，每提供一个得2分，最高得8分。（以磋商响应文件中合同或合同关键页（必须含封面、内容、签订时间、盖章签字页等信息）加盖公章的扫描件为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各有效供应商的评审价中，最终报价最低为基准价，各有效供应商的价格评分统一按照下列公式计算：价格评分＝（基准价÷评审价）×价格分分值。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需求理解与定位</w:t>
            </w:r>
          </w:p>
        </w:tc>
        <w:tc>
          <w:tcPr>
            <w:tcW w:type="dxa" w:w="2492"/>
          </w:tcPr>
          <w:p>
            <w:pPr>
              <w:pStyle w:val="null3"/>
            </w:pPr>
            <w:r>
              <w:rPr>
                <w:rFonts w:ascii="仿宋_GB2312" w:hAnsi="仿宋_GB2312" w:cs="仿宋_GB2312" w:eastAsia="仿宋_GB2312"/>
              </w:rPr>
              <w:t>（1）需求理解（0-9分）一、评审内容：①项目的实施背景理解；②工作目的目标理解；③相关政策及发展动向。二、评审标准：1、完整性：内容全面，对评审内容中的各项要求有详细描述；2、可行性：切合本标段实际情况，提出步骤清晰的方案；3、针对性：紧扣项目实际情况需求，内容切实合理。三、赋分标准：①项目的实施背景理解：每完全满足一个评审标准得1分，满分3分；②工作目的目标理解：每完全满足一个评审标准得1分，满分3分；③相关政策及发展动向：每完全满足一个评审标准得1分，满分3分。（2）根据理解定位，做出的服务标准及服务优势说明，得1分，未提供不得分。（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总体框架及计划；②技术思路及方法；③关键点、重难点分析；④服务理念及特色。二、评审标准：1、完整性：内容全面，对评审内容中的各项要求有详细描述；2、可行性：切合本标段实际情况，提出步骤清晰的方案；3、针对性：紧扣项目实际情况需求，内容切实合理；4、专业性：逻辑性强，具有技术含量、技术水准。三、赋分标准：①总体框架及计划：每完全满足一个评审标准得1分，满分4分；②技术思路及方法：每完全满足一个评审标准得1分，满分4分；③关键点、重难点分析：每完全满足一个评审标准得1分，满分4分；④服务理念及特色：每完全满足一个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一、评审内容：①具有针对本项目质量管理制度；②质量保障措施；③内部管控流程合理。二、评审标准：1、完整性：内容全面，对评审内容中的各项要求有详细描述；2、可行性：切合本标段实际情况，提出步骤清晰的方案；3、针对性：紧扣项目实际情况需求，内容切实合理。三、赋分标准：①具有针对本项目质量管理制度：每完全满足一个评审标准得1分，满分3分；②质量保障措施：每完全满足一个评审标准得1分，满分3分；③内部管控流程：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具备质量、环境管理体系认证证书的每提供以上一项得0.5分，最高得1分。（以磋商响应文件中证书加盖公章的扫描件为准，未提供不得分）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一、评审内容：①进度的保障措施；②突发状况应急预案。二、评审标准：1、完整性：内容全面，对评审内容中的各项要求有详细描述；2、可行性：切合本标段实际情况，提出步骤清晰的方案；3、针对性：紧扣项目实际情况需求，内容切实合理。三、赋分标准：①进度的保障措施：每完全满足一个评审标准得1分，满分3分；②突发状况应急预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保密廉洁</w:t>
            </w:r>
          </w:p>
        </w:tc>
        <w:tc>
          <w:tcPr>
            <w:tcW w:type="dxa" w:w="2492"/>
          </w:tcPr>
          <w:p>
            <w:pPr>
              <w:pStyle w:val="null3"/>
            </w:pPr>
            <w:r>
              <w:rPr>
                <w:rFonts w:ascii="仿宋_GB2312" w:hAnsi="仿宋_GB2312" w:cs="仿宋_GB2312" w:eastAsia="仿宋_GB2312"/>
              </w:rPr>
              <w:t>一、评审内容：①保密制度及措施；②廉洁制度及措施。二、评审标准：1、完整性：内容全面，对评审内容中的各项要求有详细描述；2、可行性：切合本标段实际情况，提出步骤清晰的方案；3、针对性：紧扣项目实际情况需求，内容切实合理。三、赋分标准：①保密制度及措施：每完全满足一个评审标准得1分，满分3分；②廉洁制度及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组织架构及职责划分。二、赋分标准：1、组织架构完整，岗位设置合理、明确，提供拟派团队的组织架构图、岗位分工说明及具体的项目组成员名单的，得4分；2、组织架构较为完整，岗位设置较为合理，提供拟派团队的组织架构图、岗位分工说明及具体的项目组成员名单的，3分；3、组织架构、岗位设置能够基本满足本项目采购要求，提供拟派团队的组织架构图或岗位分工说明或具体的项目组成员名单的得2分；4、组织架构、岗位设置不够合理的，得1分；5、无组织架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设立专人负责制，拟派项目负责人具有环境工程类专业高级职称的，得3.5分；具有环境工程类专业中级职称的，得1分；其余不得分。2、拟派团队成员（除项目负责人外）具有环境工程类专业高级职称的，每提供一人得1分，具有环境工程类专业中级职称的，每提供一人得0.5分，本项最高得5分。3、拟派团队总人数10人或以上得2.5分；8-9人得2分；6-7人得1.5分；其余不得分。（以磋商响应文件中学历证书、职称证书及该成员在供应商供职的相关证明资料扫描件为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1、针对本项目提供监测设备，列有详细的设备清单（内容体现包括但不限于：生产厂家、规格型号、数量等），得2分，上述信息不齐全的得1分，不提供不得分。2、设备具有针对性得2分；先进性得1分；全面性得1分。本项最高得4分。3、清单后附设备照片或购置发票等能证明设备归属的材料，每提供一个设备的相关证明资料得1分，本项最高得4分。（以响应文件中设备照片或购置发票等能证明设备归属的材料扫描件为准，计量仪器需提供有效期内检定/校准证书，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具有切实可行的后期支持服务方案及承诺。1、明确服务范围得2分；2、方案描述具体可行的得3分，不够具体的得1分；3、明确响应时间得2分；4、提供技术服务联系人及联系方式得2分。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为准）具有类似调查评估项目业绩，每提供一个得2分，最高得8分。（以磋商响应文件中合同或合同关键页（必须含封面、内容、签订时间、盖章签字页等信息）加盖公章的扫描件为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各有效供应商的评审价中，最终报价最低作为基准价，各有效供应商的价格评分统一按照下列公式计算：价格评分＝（基准价÷评审价）×价格分分值。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需求理解与定位</w:t>
            </w:r>
          </w:p>
        </w:tc>
        <w:tc>
          <w:tcPr>
            <w:tcW w:type="dxa" w:w="2492"/>
          </w:tcPr>
          <w:p>
            <w:pPr>
              <w:pStyle w:val="null3"/>
            </w:pPr>
            <w:r>
              <w:rPr>
                <w:rFonts w:ascii="仿宋_GB2312" w:hAnsi="仿宋_GB2312" w:cs="仿宋_GB2312" w:eastAsia="仿宋_GB2312"/>
              </w:rPr>
              <w:t>（1）需求理解（0-9分）一、评审内容：①项目的实施背景理解；②工作目的目标理解；③相关政策及发展动向。二、评审标准：1、完整性：内容全面，对评审内容中的各项要求有详细描述；2、可行性：切合本标段实际情况，提出步骤清晰的方案；3、针对性：紧扣项目实际情况需求，内容切实合理。三、赋分标准：①项目的实施背景理解：每完全满足一个评审标准得1分，满分3分；②工作目的目标理解：每完全满足一个评审标准得1分，满分3分；③相关政策及发展动向：每完全满足一个评审标准得1分，满分3分。（2）根据理解定位，做出的服务标准及服务优势说明，得1分，未提供不得分。（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总体框架及计划；②技术思路及方法；③关键点、重难点分析；④服务理念及特色。二、评审标准：1、完整性：内容全面，对评审内容中的各项要求有详细描述；2、可行性：切合本标段实际情况，提出步骤清晰的方案；3、针对性：紧扣项目实际情况需求，内容切实合理；4、专业性：逻辑性强，具有技术含量、技术水准。三、赋分标准：①总体框架及计划：每完全满足一个评审标准得1分，满分4分；②技术思路及方法：每完全满足一个评审标准得1分，满分4分；③关键点、重难点分析：每完全满足一个评审标准得1分，满分4分；④服务理念及特色：每完全满足一个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①具有针对本项目质量管理制度；②质量保障措施；③内部管控流程合理。二、评审标准：1、完整性：内容全面，对评审内容中的各项要求有详细描述；2、可行性：切合本标段实际情况，提出步骤清晰的方案；3、针对性：紧扣项目实际情况需求，内容切实合理。三、赋分标准：①具有针对本项目质量管理制度：每完全满足一个评审标准得1分，满分3分；②质量保障措施：每完全满足一个评审标准得1分，满分3分；③内部管控流程：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一、评审内容：①进度的保障措施；②突发状况应急预案。二、评审标准：1、完整性：内容全面，对评审内容中的各项要求有详细描述；2、可行性：切合本标段实际情况，提出步骤清晰的方案；3、针对性：紧扣项目实际情况需求，内容切实合理。三、赋分标准：①进度的保障措施：每完全满足一个评审标准得1分，满分3分；②突发状况应急预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保密廉洁</w:t>
            </w:r>
          </w:p>
        </w:tc>
        <w:tc>
          <w:tcPr>
            <w:tcW w:type="dxa" w:w="2492"/>
          </w:tcPr>
          <w:p>
            <w:pPr>
              <w:pStyle w:val="null3"/>
            </w:pPr>
            <w:r>
              <w:rPr>
                <w:rFonts w:ascii="仿宋_GB2312" w:hAnsi="仿宋_GB2312" w:cs="仿宋_GB2312" w:eastAsia="仿宋_GB2312"/>
              </w:rPr>
              <w:t>一、评审内容：①保密制度及措施；②廉洁制度及措施。二、评审标准：1、完整性：内容全面，对评审内容中的各项要求有详细描述；2、可行性：切合本标段实际情况，提出步骤清晰的方案；3、针对性：紧扣项目实际情况需求，内容切实合理。三、赋分标准：①保密制度及措施：每完全满足一个评审标准得1分，满分3分；②廉洁制度及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组织架构及职责划分。二、赋分标准：1、组织架构完整，岗位设置合理、明确，提供拟派团队的组织架构图、岗位分工说明及具体的项目组成员名单的，得4分；2、组织架构较为完整，岗位设置较为合理，提供拟派团队的组织架构图、岗位分工说明及具体的项目组成员名单的，3分；3、组织架构、岗位设置能够基本满足本项目采购要求，提供拟派团队的组织架构图或岗位分工说明或具体的项目组成员名单的得2分；4、组织架构、岗位设置不够合理的，得1分；5、无组织架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团队总人数10人或以上得4分；6-9人得3分；其余不得分。2、设立专人负责制，拟派项目负责人同时具有遥感、测绘相关专业高级工程师职称及注册测绘师职业资格的，得4分；仅具有遥感、测绘相关专业高级工程师职称的，得3分；仅具有遥感、测绘相关专业工程师职称的，得2分；其余不得分。3、拟派团队成员（除项目负责人外）具有遥感、测绘相关专业高级职称或注册测绘师职业资格的，每提供一人得2分，具有遥感、测绘相关专业中级职称的，每提供一人得0.5分，中级职称最多得1分，本项最高得6分。（以磋商响应文件中学历证书、职称证书、职业资格证书及该成员在供应商供职的相关证明资料扫描件为准，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1、针对本项目提供监测设备，列有详细的设备清单（内容体现包括但不限于：生产厂家、规格型号、数量等），得2分，上述信息不齐全的得1分，不提供不得分。2、设备具有针对性得2分；先进性得1分；全面性得1分。本项最高得4分。3、清单后附设备照片或购置发票等能证明设备归属的材料，每提供一个设备的相关证明资料得1分，本项最高得4分。（以响应文件中设备照片或购置发票等能证明设备归属的材料扫描件为准，计量仪器需提供有效期内检定/校准证书，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具有切实可行的后期支持服务方案及承诺。1、明确服务范围得1分；2、方案描述具体可行的得2分，不够具体的得1分；3、明确响应时间得1分；4、提供技术服务联系人及联系方式得1分。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为准）具有类似遥感排查项目业绩，每提供一个得2分，最高得10分。（以磋商响应文件中合同或合同关键页（必须含封面、内容、签订时间、盖章签字页等信息）加盖公章的扫描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各有效供应商的评审价中，最终报价最低作为基准价，各有效供应商的价格评分统一按照下列公式计算：价格评分＝（基准价÷评审价）×价格分分值。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详见附件：法定代表人（或负责人）授权书.docx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详见附件：商务响应部分.docx</w:t>
      </w:r>
    </w:p>
    <w:p>
      <w:pPr>
        <w:pStyle w:val="null3"/>
        <w:ind w:firstLine="960"/>
      </w:pPr>
      <w:r>
        <w:rPr>
          <w:rFonts w:ascii="仿宋_GB2312" w:hAnsi="仿宋_GB2312" w:cs="仿宋_GB2312" w:eastAsia="仿宋_GB2312"/>
        </w:rPr>
        <w:t>详见附件：采购供应商拒绝政府采购领域商业贿赂承诺书.docx</w:t>
      </w:r>
    </w:p>
    <w:p>
      <w:pPr>
        <w:pStyle w:val="null3"/>
        <w:ind w:firstLine="960"/>
      </w:pPr>
      <w:r>
        <w:rPr>
          <w:rFonts w:ascii="仿宋_GB2312" w:hAnsi="仿宋_GB2312" w:cs="仿宋_GB2312" w:eastAsia="仿宋_GB2312"/>
        </w:rPr>
        <w:t>详见附件：供应商认为有必要说明的其他事项（如有）.docx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详见附件：法定代表人（或负责人）授权书.docx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详见附件：商务响应部分.docx</w:t>
      </w:r>
    </w:p>
    <w:p>
      <w:pPr>
        <w:pStyle w:val="null3"/>
        <w:ind w:firstLine="960"/>
      </w:pPr>
      <w:r>
        <w:rPr>
          <w:rFonts w:ascii="仿宋_GB2312" w:hAnsi="仿宋_GB2312" w:cs="仿宋_GB2312" w:eastAsia="仿宋_GB2312"/>
        </w:rPr>
        <w:t>详见附件：采购供应商拒绝政府采购领域商业贿赂承诺书.docx</w:t>
      </w:r>
    </w:p>
    <w:p>
      <w:pPr>
        <w:pStyle w:val="null3"/>
        <w:ind w:firstLine="960"/>
      </w:pPr>
      <w:r>
        <w:rPr>
          <w:rFonts w:ascii="仿宋_GB2312" w:hAnsi="仿宋_GB2312" w:cs="仿宋_GB2312" w:eastAsia="仿宋_GB2312"/>
        </w:rPr>
        <w:t>详见附件：供应商认为有必要说明的其他事项（如有）.docx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详见附件：法定代表人（或负责人）授权书.docx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详见附件：商务响应部分.docx</w:t>
      </w:r>
    </w:p>
    <w:p>
      <w:pPr>
        <w:pStyle w:val="null3"/>
        <w:ind w:firstLine="960"/>
      </w:pPr>
      <w:r>
        <w:rPr>
          <w:rFonts w:ascii="仿宋_GB2312" w:hAnsi="仿宋_GB2312" w:cs="仿宋_GB2312" w:eastAsia="仿宋_GB2312"/>
        </w:rPr>
        <w:t>详见附件：采购供应商拒绝政府采购领域商业贿赂承诺书.docx</w:t>
      </w:r>
    </w:p>
    <w:p>
      <w:pPr>
        <w:pStyle w:val="null3"/>
        <w:ind w:firstLine="960"/>
      </w:pPr>
      <w:r>
        <w:rPr>
          <w:rFonts w:ascii="仿宋_GB2312" w:hAnsi="仿宋_GB2312" w:cs="仿宋_GB2312" w:eastAsia="仿宋_GB2312"/>
        </w:rPr>
        <w:t>详见附件：供应商认为有必要说明的其他事项（如有）.docx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