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版本号：DRZB2025-ZC-14320250619001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“陕西福彩学院”培训服务采购项目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DRZB2025-ZC-143</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“陕西福彩学院”培训服务采购项目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DRZB2025-ZC-143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“陕西福彩学院”培训服务采购项目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“陕西福彩学院”培训服务采购项目，具体内容详见磋商文件及采购需求。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采购包1（“陕西福彩学院”培训服务采购项目）：属于专门面向中小企业采购。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6、无重大违法记录声明：参加本次政府采购活动前3年内在经营活动中没有重大违纪，以及未被列入失信被执行人、重大税收违法失信主体、政府采购严重违法失信行为记录名单的书面声明。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关联关系：供应商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11、非联合体声明：提供非联合体不分包响应。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采购包1保证金金额：12,143.00元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关于招标代理服务收费有关问题的通知》（发改办价格〔2003〕857号）规定，向成交供应商收取代理服务费。成交供应商在领取《成交通知书》之前，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坚持双线并行工作方针，稳步推动我省福利彩票培训体系规范化、系统化、专业化建设，我中心拟继续开展“陕西福彩学院”培训服务项目采购工作，主要内容包括培训平台授权、培训课程供应、培训业务支持、平台运维服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620,000.00</w:t>
      </w:r>
    </w:p>
    <w:p>
      <w:pPr>
        <w:pStyle w:val="null3"/>
      </w:pPr>
      <w:r>
        <w:rPr>
          <w:rFonts w:ascii="仿宋_GB2312" w:hAnsi="仿宋_GB2312" w:cs="仿宋_GB2312" w:eastAsia="仿宋_GB2312"/>
        </w:rPr>
        <w:t>采购包最高限价（元）: 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培训服务及线上培训平台使用授权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标的名称：培训服务及线上培训平台使用授权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一、项目基本信息</w:t>
            </w:r>
          </w:p>
          <w:p>
            <w:pPr>
              <w:pStyle w:val="null3"/>
            </w:pPr>
            <w:r>
              <w:rPr>
                <w:rFonts w:ascii="仿宋_GB2312" w:hAnsi="仿宋_GB2312" w:cs="仿宋_GB2312" w:eastAsia="仿宋_GB2312"/>
              </w:rPr>
              <w:t>为坚持双线并行工作方针，稳步推动我省福利彩票培训体系规范化、系统化、专业化建设，我中心拟继续开展“陕西福彩学院”培训服务项目采购工作，主要内容包括培训平台授权、培训课程供应、培训业务支持、平台运维服务等。</w:t>
            </w:r>
          </w:p>
          <w:p>
            <w:pPr>
              <w:pStyle w:val="null3"/>
            </w:pPr>
            <w:r>
              <w:rPr>
                <w:rFonts w:ascii="仿宋_GB2312" w:hAnsi="仿宋_GB2312" w:cs="仿宋_GB2312" w:eastAsia="仿宋_GB2312"/>
              </w:rPr>
              <w:t>二、采购内容</w:t>
            </w:r>
          </w:p>
          <w:p>
            <w:pPr>
              <w:pStyle w:val="null3"/>
            </w:pPr>
            <w:r>
              <w:rPr>
                <w:rFonts w:ascii="仿宋_GB2312" w:hAnsi="仿宋_GB2312" w:cs="仿宋_GB2312" w:eastAsia="仿宋_GB2312"/>
              </w:rPr>
              <w:t>（一）提供能够满足我省当前线上培训业务需求的培训平台或载体一套，在项目期内提供相应的运营、维护及培训服务，并针对本省培训业务需求，进行小规模定制研发。</w:t>
            </w:r>
          </w:p>
          <w:p>
            <w:pPr>
              <w:pStyle w:val="null3"/>
            </w:pPr>
            <w:r>
              <w:rPr>
                <w:rFonts w:ascii="仿宋_GB2312" w:hAnsi="仿宋_GB2312" w:cs="仿宋_GB2312" w:eastAsia="仿宋_GB2312"/>
              </w:rPr>
              <w:t>（二）项目执行期间，每周提供2部视频微课，内容涵盖责任彩票、全票种销售技巧、营销策略、彩民服务、政策法规等，全年不少于100部，单课时长不低于3分钟。</w:t>
            </w:r>
          </w:p>
          <w:p>
            <w:pPr>
              <w:pStyle w:val="null3"/>
            </w:pPr>
            <w:r>
              <w:rPr>
                <w:rFonts w:ascii="仿宋_GB2312" w:hAnsi="仿宋_GB2312" w:cs="仿宋_GB2312" w:eastAsia="仿宋_GB2312"/>
              </w:rPr>
              <w:t>（三）提供线上直播培训课程，并为中、省各类营销、派奖及推广活动提供直播培训服务，项目期内不少于8场，单场时长不低于1.5小时。</w:t>
            </w:r>
          </w:p>
          <w:p>
            <w:pPr>
              <w:pStyle w:val="null3"/>
            </w:pPr>
            <w:r>
              <w:rPr>
                <w:rFonts w:ascii="仿宋_GB2312" w:hAnsi="仿宋_GB2312" w:cs="仿宋_GB2312" w:eastAsia="仿宋_GB2312"/>
              </w:rPr>
              <w:t>（四）项目执行期间，提供60场线下邀请培训，服务内容包括课程策划、讲师邀请、行程安排、交通食宿、课酬支付等，单场时长不低于2.5小时。</w:t>
            </w:r>
          </w:p>
          <w:p>
            <w:pPr>
              <w:pStyle w:val="null3"/>
            </w:pPr>
            <w:r>
              <w:rPr>
                <w:rFonts w:ascii="仿宋_GB2312" w:hAnsi="仿宋_GB2312" w:cs="仿宋_GB2312" w:eastAsia="仿宋_GB2312"/>
              </w:rPr>
              <w:t>（五）项目执行期间，为各类重大营销、宣传、培训活动制作MG动画视频课程，全年不少于3部。</w:t>
            </w:r>
          </w:p>
          <w:p>
            <w:pPr>
              <w:pStyle w:val="null3"/>
            </w:pPr>
            <w:r>
              <w:rPr>
                <w:rFonts w:ascii="仿宋_GB2312" w:hAnsi="仿宋_GB2312" w:cs="仿宋_GB2312" w:eastAsia="仿宋_GB2312"/>
              </w:rPr>
              <w:t>（六）项目执行期间，结合我省福彩行业发展规划与市场需求，针对性开展原创课程研发活动，全年预计研发30门课程。</w:t>
            </w:r>
          </w:p>
          <w:p>
            <w:pPr>
              <w:pStyle w:val="null3"/>
            </w:pPr>
            <w:r>
              <w:rPr>
                <w:rFonts w:ascii="仿宋_GB2312" w:hAnsi="仿宋_GB2312" w:cs="仿宋_GB2312" w:eastAsia="仿宋_GB2312"/>
              </w:rPr>
              <w:t>（七）项目执行期间，为中心开展的各类线上线下培训提供课程美化及设计服务。</w:t>
            </w:r>
          </w:p>
          <w:p>
            <w:pPr>
              <w:pStyle w:val="null3"/>
            </w:pPr>
            <w:r>
              <w:rPr>
                <w:rFonts w:ascii="仿宋_GB2312" w:hAnsi="仿宋_GB2312" w:cs="仿宋_GB2312" w:eastAsia="仿宋_GB2312"/>
              </w:rPr>
              <w:t>（八）项目执行期间，为全省培训业务专员及培训师提供为期三天的TTT培训服务（含报到、离会），预计培训人数80人。</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前端（用户端）</w:t>
            </w:r>
          </w:p>
          <w:p>
            <w:pPr>
              <w:pStyle w:val="null3"/>
            </w:pPr>
            <w:r>
              <w:rPr>
                <w:rFonts w:ascii="仿宋_GB2312" w:hAnsi="仿宋_GB2312" w:cs="仿宋_GB2312" w:eastAsia="仿宋_GB2312"/>
              </w:rPr>
              <w:t>1、用户登录</w:t>
            </w:r>
          </w:p>
          <w:p>
            <w:pPr>
              <w:pStyle w:val="null3"/>
            </w:pPr>
            <w:r>
              <w:rPr>
                <w:rFonts w:ascii="仿宋_GB2312" w:hAnsi="仿宋_GB2312" w:cs="仿宋_GB2312" w:eastAsia="仿宋_GB2312"/>
              </w:rPr>
              <w:t>（1）支持各类主流移动端设备、PC端常见浏览器。</w:t>
            </w:r>
          </w:p>
          <w:p>
            <w:pPr>
              <w:pStyle w:val="null3"/>
            </w:pPr>
            <w:r>
              <w:rPr>
                <w:rFonts w:ascii="仿宋_GB2312" w:hAnsi="仿宋_GB2312" w:cs="仿宋_GB2312" w:eastAsia="仿宋_GB2312"/>
              </w:rPr>
              <w:t>（2）支持不依托于浏览器的密码保存和自动登录功能。</w:t>
            </w:r>
          </w:p>
          <w:p>
            <w:pPr>
              <w:pStyle w:val="null3"/>
            </w:pPr>
            <w:r>
              <w:rPr>
                <w:rFonts w:ascii="仿宋_GB2312" w:hAnsi="仿宋_GB2312" w:cs="仿宋_GB2312" w:eastAsia="仿宋_GB2312"/>
              </w:rPr>
              <w:t>（3）用户登录后，可自行修改登录密码。</w:t>
            </w:r>
          </w:p>
          <w:p>
            <w:pPr>
              <w:pStyle w:val="null3"/>
            </w:pPr>
            <w:r>
              <w:rPr>
                <w:rFonts w:ascii="仿宋_GB2312" w:hAnsi="仿宋_GB2312" w:cs="仿宋_GB2312" w:eastAsia="仿宋_GB2312"/>
              </w:rPr>
              <w:t>2、游客访问</w:t>
            </w:r>
          </w:p>
          <w:p>
            <w:pPr>
              <w:pStyle w:val="null3"/>
            </w:pPr>
            <w:r>
              <w:rPr>
                <w:rFonts w:ascii="仿宋_GB2312" w:hAnsi="仿宋_GB2312" w:cs="仿宋_GB2312" w:eastAsia="仿宋_GB2312"/>
              </w:rPr>
              <w:t>（1）用户无需登录即可直接访问平台并获得游客等级的浏览权限。</w:t>
            </w:r>
          </w:p>
          <w:p>
            <w:pPr>
              <w:pStyle w:val="null3"/>
            </w:pPr>
            <w:r>
              <w:rPr>
                <w:rFonts w:ascii="仿宋_GB2312" w:hAnsi="仿宋_GB2312" w:cs="仿宋_GB2312" w:eastAsia="仿宋_GB2312"/>
              </w:rPr>
              <w:t>（2）访问超出游客权限的内容时则提示用户登录。</w:t>
            </w:r>
          </w:p>
          <w:p>
            <w:pPr>
              <w:pStyle w:val="null3"/>
            </w:pPr>
            <w:r>
              <w:rPr>
                <w:rFonts w:ascii="仿宋_GB2312" w:hAnsi="仿宋_GB2312" w:cs="仿宋_GB2312" w:eastAsia="仿宋_GB2312"/>
              </w:rPr>
              <w:t>3、外部访问</w:t>
            </w:r>
          </w:p>
          <w:p>
            <w:pPr>
              <w:pStyle w:val="null3"/>
            </w:pPr>
            <w:r>
              <w:rPr>
                <w:rFonts w:ascii="仿宋_GB2312" w:hAnsi="仿宋_GB2312" w:cs="仿宋_GB2312" w:eastAsia="仿宋_GB2312"/>
              </w:rPr>
              <w:t>（1）用户可通过独立发布的课程链接、二维码访问或登录平台。</w:t>
            </w:r>
          </w:p>
          <w:p>
            <w:pPr>
              <w:pStyle w:val="null3"/>
            </w:pPr>
            <w:r>
              <w:rPr>
                <w:rFonts w:ascii="仿宋_GB2312" w:hAnsi="仿宋_GB2312" w:cs="仿宋_GB2312" w:eastAsia="仿宋_GB2312"/>
              </w:rPr>
              <w:t>（2）用户可通过陕西福彩微信公众号、陕西福利彩票APP中嵌入的平台链接访问或登录平台。</w:t>
            </w:r>
          </w:p>
          <w:p>
            <w:pPr>
              <w:pStyle w:val="null3"/>
            </w:pPr>
            <w:r>
              <w:rPr>
                <w:rFonts w:ascii="仿宋_GB2312" w:hAnsi="仿宋_GB2312" w:cs="仿宋_GB2312" w:eastAsia="仿宋_GB2312"/>
              </w:rPr>
              <w:t>4、课程直播</w:t>
            </w:r>
          </w:p>
          <w:p>
            <w:pPr>
              <w:pStyle w:val="null3"/>
            </w:pPr>
            <w:r>
              <w:rPr>
                <w:rFonts w:ascii="仿宋_GB2312" w:hAnsi="仿宋_GB2312" w:cs="仿宋_GB2312" w:eastAsia="仿宋_GB2312"/>
              </w:rPr>
              <w:t>（1）用户可在直播时间内进入符合自身权限级别的直播间参与学习。</w:t>
            </w:r>
          </w:p>
          <w:p>
            <w:pPr>
              <w:pStyle w:val="null3"/>
            </w:pPr>
            <w:r>
              <w:rPr>
                <w:rFonts w:ascii="仿宋_GB2312" w:hAnsi="仿宋_GB2312" w:cs="仿宋_GB2312" w:eastAsia="仿宋_GB2312"/>
              </w:rPr>
              <w:t>（2）登录用户可通过留言、语音等方式与讲师或工作人员互动，游客不可进行互动。</w:t>
            </w:r>
          </w:p>
          <w:p>
            <w:pPr>
              <w:pStyle w:val="null3"/>
            </w:pPr>
            <w:r>
              <w:rPr>
                <w:rFonts w:ascii="仿宋_GB2312" w:hAnsi="仿宋_GB2312" w:cs="仿宋_GB2312" w:eastAsia="仿宋_GB2312"/>
              </w:rPr>
              <w:t>（3）直播最大并发数不低于10000。</w:t>
            </w:r>
          </w:p>
          <w:p>
            <w:pPr>
              <w:pStyle w:val="null3"/>
            </w:pPr>
            <w:r>
              <w:rPr>
                <w:rFonts w:ascii="仿宋_GB2312" w:hAnsi="仿宋_GB2312" w:cs="仿宋_GB2312" w:eastAsia="仿宋_GB2312"/>
              </w:rPr>
              <w:t>（4）支持720P或更高的直播分辨率。</w:t>
            </w:r>
          </w:p>
          <w:p>
            <w:pPr>
              <w:pStyle w:val="null3"/>
            </w:pPr>
            <w:r>
              <w:rPr>
                <w:rFonts w:ascii="仿宋_GB2312" w:hAnsi="仿宋_GB2312" w:cs="仿宋_GB2312" w:eastAsia="仿宋_GB2312"/>
              </w:rPr>
              <w:t>（5）直播完成后自动转化为权限等级相同的点播课程。</w:t>
            </w:r>
          </w:p>
          <w:p>
            <w:pPr>
              <w:pStyle w:val="null3"/>
            </w:pPr>
            <w:r>
              <w:rPr>
                <w:rFonts w:ascii="仿宋_GB2312" w:hAnsi="仿宋_GB2312" w:cs="仿宋_GB2312" w:eastAsia="仿宋_GB2312"/>
              </w:rPr>
              <w:t>5、课程点播</w:t>
            </w:r>
          </w:p>
          <w:p>
            <w:pPr>
              <w:pStyle w:val="null3"/>
            </w:pPr>
            <w:r>
              <w:rPr>
                <w:rFonts w:ascii="仿宋_GB2312" w:hAnsi="仿宋_GB2312" w:cs="仿宋_GB2312" w:eastAsia="仿宋_GB2312"/>
              </w:rPr>
              <w:t>（1）任意用户可在任意时间浏览符合自身权限级别的点播课程。</w:t>
            </w:r>
          </w:p>
          <w:p>
            <w:pPr>
              <w:pStyle w:val="null3"/>
            </w:pPr>
            <w:r>
              <w:rPr>
                <w:rFonts w:ascii="仿宋_GB2312" w:hAnsi="仿宋_GB2312" w:cs="仿宋_GB2312" w:eastAsia="仿宋_GB2312"/>
              </w:rPr>
              <w:t>（2）最大并发数不低于20000。</w:t>
            </w:r>
          </w:p>
          <w:p>
            <w:pPr>
              <w:pStyle w:val="null3"/>
            </w:pPr>
            <w:r>
              <w:rPr>
                <w:rFonts w:ascii="仿宋_GB2312" w:hAnsi="仿宋_GB2312" w:cs="仿宋_GB2312" w:eastAsia="仿宋_GB2312"/>
              </w:rPr>
              <w:t>（3）支持720P或更高的视频分辨率。</w:t>
            </w:r>
          </w:p>
          <w:p>
            <w:pPr>
              <w:pStyle w:val="null3"/>
            </w:pPr>
            <w:r>
              <w:rPr>
                <w:rFonts w:ascii="仿宋_GB2312" w:hAnsi="仿宋_GB2312" w:cs="仿宋_GB2312" w:eastAsia="仿宋_GB2312"/>
              </w:rPr>
              <w:t>6、课程评论</w:t>
            </w:r>
          </w:p>
          <w:p>
            <w:pPr>
              <w:pStyle w:val="null3"/>
            </w:pPr>
            <w:r>
              <w:rPr>
                <w:rFonts w:ascii="仿宋_GB2312" w:hAnsi="仿宋_GB2312" w:cs="仿宋_GB2312" w:eastAsia="仿宋_GB2312"/>
              </w:rPr>
              <w:t>（1）用户可对自身观看达一定时长比例的直播、点播课程进行打分评价。</w:t>
            </w:r>
          </w:p>
          <w:p>
            <w:pPr>
              <w:pStyle w:val="null3"/>
            </w:pPr>
            <w:r>
              <w:rPr>
                <w:rFonts w:ascii="仿宋_GB2312" w:hAnsi="仿宋_GB2312" w:cs="仿宋_GB2312" w:eastAsia="仿宋_GB2312"/>
              </w:rPr>
              <w:t>（2）用户不可对未观看过的课程进行评价。</w:t>
            </w:r>
          </w:p>
          <w:p>
            <w:pPr>
              <w:pStyle w:val="null3"/>
            </w:pPr>
            <w:r>
              <w:rPr>
                <w:rFonts w:ascii="仿宋_GB2312" w:hAnsi="仿宋_GB2312" w:cs="仿宋_GB2312" w:eastAsia="仿宋_GB2312"/>
              </w:rPr>
              <w:t>7、线上考核</w:t>
            </w:r>
          </w:p>
          <w:p>
            <w:pPr>
              <w:pStyle w:val="null3"/>
            </w:pPr>
            <w:r>
              <w:rPr>
                <w:rFonts w:ascii="仿宋_GB2312" w:hAnsi="仿宋_GB2312" w:cs="仿宋_GB2312" w:eastAsia="仿宋_GB2312"/>
              </w:rPr>
              <w:t>（1）用户登录后，可以查看并参与符合自身权限级别的线上练习。</w:t>
            </w:r>
          </w:p>
          <w:p>
            <w:pPr>
              <w:pStyle w:val="null3"/>
            </w:pPr>
            <w:r>
              <w:rPr>
                <w:rFonts w:ascii="仿宋_GB2312" w:hAnsi="仿宋_GB2312" w:cs="仿宋_GB2312" w:eastAsia="仿宋_GB2312"/>
              </w:rPr>
              <w:t>（2）练习完成后可以查看错题与正确答案。</w:t>
            </w:r>
          </w:p>
          <w:p>
            <w:pPr>
              <w:pStyle w:val="null3"/>
            </w:pPr>
            <w:r>
              <w:rPr>
                <w:rFonts w:ascii="仿宋_GB2312" w:hAnsi="仿宋_GB2312" w:cs="仿宋_GB2312" w:eastAsia="仿宋_GB2312"/>
              </w:rPr>
              <w:t>（3）用户可在指定的考试时间内登录平台参与各级管理机构组织的在线考核。</w:t>
            </w:r>
          </w:p>
          <w:p>
            <w:pPr>
              <w:pStyle w:val="null3"/>
            </w:pPr>
            <w:r>
              <w:rPr>
                <w:rFonts w:ascii="仿宋_GB2312" w:hAnsi="仿宋_GB2312" w:cs="仿宋_GB2312" w:eastAsia="仿宋_GB2312"/>
              </w:rPr>
              <w:t>（4）考核完成后可以查看自身已完成的试卷。</w:t>
            </w:r>
          </w:p>
          <w:p>
            <w:pPr>
              <w:pStyle w:val="null3"/>
            </w:pPr>
            <w:r>
              <w:rPr>
                <w:rFonts w:ascii="仿宋_GB2312" w:hAnsi="仿宋_GB2312" w:cs="仿宋_GB2312" w:eastAsia="仿宋_GB2312"/>
              </w:rPr>
              <w:t>8、线上调研</w:t>
            </w:r>
          </w:p>
          <w:p>
            <w:pPr>
              <w:pStyle w:val="null3"/>
            </w:pPr>
            <w:r>
              <w:rPr>
                <w:rFonts w:ascii="仿宋_GB2312" w:hAnsi="仿宋_GB2312" w:cs="仿宋_GB2312" w:eastAsia="仿宋_GB2312"/>
              </w:rPr>
              <w:t>游客和登录用户均可参与符合自身权限级别的在线问卷调查。</w:t>
            </w:r>
          </w:p>
          <w:p>
            <w:pPr>
              <w:pStyle w:val="null3"/>
            </w:pPr>
            <w:r>
              <w:rPr>
                <w:rFonts w:ascii="仿宋_GB2312" w:hAnsi="仿宋_GB2312" w:cs="仿宋_GB2312" w:eastAsia="仿宋_GB2312"/>
              </w:rPr>
              <w:t>9、任务接收</w:t>
            </w:r>
          </w:p>
          <w:p>
            <w:pPr>
              <w:pStyle w:val="null3"/>
            </w:pPr>
            <w:r>
              <w:rPr>
                <w:rFonts w:ascii="仿宋_GB2312" w:hAnsi="仿宋_GB2312" w:cs="仿宋_GB2312" w:eastAsia="仿宋_GB2312"/>
              </w:rPr>
              <w:t>（1）用户登录后可接收并查看各级管理员分配的学习、考核、问卷调查等任务。</w:t>
            </w:r>
          </w:p>
          <w:p>
            <w:pPr>
              <w:pStyle w:val="null3"/>
            </w:pPr>
            <w:r>
              <w:rPr>
                <w:rFonts w:ascii="仿宋_GB2312" w:hAnsi="仿宋_GB2312" w:cs="仿宋_GB2312" w:eastAsia="仿宋_GB2312"/>
              </w:rPr>
              <w:t>（2）用户能够查看自身每项任务的完成情况、当前进度和任务期限。</w:t>
            </w:r>
          </w:p>
          <w:p>
            <w:pPr>
              <w:pStyle w:val="null3"/>
            </w:pPr>
            <w:r>
              <w:rPr>
                <w:rFonts w:ascii="仿宋_GB2312" w:hAnsi="仿宋_GB2312" w:cs="仿宋_GB2312" w:eastAsia="仿宋_GB2312"/>
              </w:rPr>
              <w:t>10、积分获取</w:t>
            </w:r>
          </w:p>
          <w:p>
            <w:pPr>
              <w:pStyle w:val="null3"/>
            </w:pPr>
            <w:r>
              <w:rPr>
                <w:rFonts w:ascii="仿宋_GB2312" w:hAnsi="仿宋_GB2312" w:cs="仿宋_GB2312" w:eastAsia="仿宋_GB2312"/>
              </w:rPr>
              <w:t>用户登录后，可通过后台设置的各项任务获取相应平台积分，并可随时查看自己的积分。</w:t>
            </w:r>
          </w:p>
          <w:p>
            <w:pPr>
              <w:pStyle w:val="null3"/>
            </w:pPr>
            <w:r>
              <w:rPr>
                <w:rFonts w:ascii="仿宋_GB2312" w:hAnsi="仿宋_GB2312" w:cs="仿宋_GB2312" w:eastAsia="仿宋_GB2312"/>
              </w:rPr>
              <w:t>后台（管理端）</w:t>
            </w:r>
          </w:p>
          <w:p>
            <w:pPr>
              <w:pStyle w:val="null3"/>
            </w:pPr>
            <w:r>
              <w:rPr>
                <w:rFonts w:ascii="仿宋_GB2312" w:hAnsi="仿宋_GB2312" w:cs="仿宋_GB2312" w:eastAsia="仿宋_GB2312"/>
              </w:rPr>
              <w:t>11、用户账户</w:t>
            </w:r>
          </w:p>
          <w:p>
            <w:pPr>
              <w:pStyle w:val="null3"/>
            </w:pPr>
            <w:r>
              <w:rPr>
                <w:rFonts w:ascii="仿宋_GB2312" w:hAnsi="仿宋_GB2312" w:cs="仿宋_GB2312" w:eastAsia="仿宋_GB2312"/>
              </w:rPr>
              <w:t>（1）支持单独和批量导入、创建、编辑、删除用户账户。</w:t>
            </w:r>
          </w:p>
          <w:p>
            <w:pPr>
              <w:pStyle w:val="null3"/>
            </w:pPr>
            <w:r>
              <w:rPr>
                <w:rFonts w:ascii="仿宋_GB2312" w:hAnsi="仿宋_GB2312" w:cs="仿宋_GB2312" w:eastAsia="仿宋_GB2312"/>
              </w:rPr>
              <w:t>（2）账户信息中应至少包含以下可编辑字段：用户名、登录密码、所属用户组、联系电话、所属市（区）、县（区）、自定义标签或其他类似功能（如标记站点是否开通快乐8）。</w:t>
            </w:r>
          </w:p>
          <w:p>
            <w:pPr>
              <w:pStyle w:val="null3"/>
            </w:pPr>
            <w:r>
              <w:rPr>
                <w:rFonts w:ascii="仿宋_GB2312" w:hAnsi="仿宋_GB2312" w:cs="仿宋_GB2312" w:eastAsia="仿宋_GB2312"/>
              </w:rPr>
              <w:t>12、用户分组</w:t>
            </w:r>
          </w:p>
          <w:p>
            <w:pPr>
              <w:pStyle w:val="null3"/>
            </w:pPr>
            <w:r>
              <w:rPr>
                <w:rFonts w:ascii="仿宋_GB2312" w:hAnsi="仿宋_GB2312" w:cs="仿宋_GB2312" w:eastAsia="仿宋_GB2312"/>
              </w:rPr>
              <w:t>（1）支持创建、编辑和删除用户组。</w:t>
            </w:r>
          </w:p>
          <w:p>
            <w:pPr>
              <w:pStyle w:val="null3"/>
            </w:pPr>
            <w:r>
              <w:rPr>
                <w:rFonts w:ascii="仿宋_GB2312" w:hAnsi="仿宋_GB2312" w:cs="仿宋_GB2312" w:eastAsia="仿宋_GB2312"/>
              </w:rPr>
              <w:t>（2）支持5级或更高层级用户分组。</w:t>
            </w:r>
          </w:p>
          <w:p>
            <w:pPr>
              <w:pStyle w:val="null3"/>
            </w:pPr>
            <w:r>
              <w:rPr>
                <w:rFonts w:ascii="仿宋_GB2312" w:hAnsi="仿宋_GB2312" w:cs="仿宋_GB2312" w:eastAsia="仿宋_GB2312"/>
              </w:rPr>
              <w:t>（3）支持对不同用户组分配不同角色并赋予相应权限。</w:t>
            </w:r>
          </w:p>
          <w:p>
            <w:pPr>
              <w:pStyle w:val="null3"/>
            </w:pPr>
            <w:r>
              <w:rPr>
                <w:rFonts w:ascii="仿宋_GB2312" w:hAnsi="仿宋_GB2312" w:cs="仿宋_GB2312" w:eastAsia="仿宋_GB2312"/>
              </w:rPr>
              <w:t>（4）支持根据用户账户信息中的任意可编辑字段进行筛选和分组。</w:t>
            </w:r>
          </w:p>
          <w:p>
            <w:pPr>
              <w:pStyle w:val="null3"/>
            </w:pPr>
            <w:r>
              <w:rPr>
                <w:rFonts w:ascii="仿宋_GB2312" w:hAnsi="仿宋_GB2312" w:cs="仿宋_GB2312" w:eastAsia="仿宋_GB2312"/>
              </w:rPr>
              <w:t>（5）用户组权限应符合向下管理原则（如市中心管理员可对其下辖区县用户进行管理，但无权查看和管理省级用户）。</w:t>
            </w:r>
          </w:p>
          <w:p>
            <w:pPr>
              <w:pStyle w:val="null3"/>
            </w:pPr>
            <w:r>
              <w:rPr>
                <w:rFonts w:ascii="仿宋_GB2312" w:hAnsi="仿宋_GB2312" w:cs="仿宋_GB2312" w:eastAsia="仿宋_GB2312"/>
              </w:rPr>
              <w:t>（6）同级用户组应符合权限分隔原则（如西安市管理员和宝鸡市管理员可以各自对其辖区内用户进行管理，但彼此无法查看和管理对方辖区的用户）。</w:t>
            </w:r>
          </w:p>
          <w:p>
            <w:pPr>
              <w:pStyle w:val="null3"/>
            </w:pPr>
            <w:r>
              <w:rPr>
                <w:rFonts w:ascii="仿宋_GB2312" w:hAnsi="仿宋_GB2312" w:cs="仿宋_GB2312" w:eastAsia="仿宋_GB2312"/>
              </w:rPr>
              <w:t>13、培训师管理</w:t>
            </w:r>
          </w:p>
          <w:p>
            <w:pPr>
              <w:pStyle w:val="null3"/>
            </w:pPr>
            <w:r>
              <w:rPr>
                <w:rFonts w:ascii="仿宋_GB2312" w:hAnsi="仿宋_GB2312" w:cs="仿宋_GB2312" w:eastAsia="仿宋_GB2312"/>
              </w:rPr>
              <w:t>（1）支持搜索、录入、编辑、删除培训师信息，支持批量导入、批量删除培训师信息。</w:t>
            </w:r>
          </w:p>
          <w:p>
            <w:pPr>
              <w:pStyle w:val="null3"/>
            </w:pPr>
            <w:r>
              <w:rPr>
                <w:rFonts w:ascii="仿宋_GB2312" w:hAnsi="仿宋_GB2312" w:cs="仿宋_GB2312" w:eastAsia="仿宋_GB2312"/>
              </w:rPr>
              <w:t>（2）支持录入培训师姓名、性别、年龄、籍贯、民族、学历、职位、电话、住址、银行账号、个人简历、培训师等级、主要培训方向等基础信息。</w:t>
            </w:r>
          </w:p>
          <w:p>
            <w:pPr>
              <w:pStyle w:val="null3"/>
            </w:pPr>
            <w:r>
              <w:rPr>
                <w:rFonts w:ascii="仿宋_GB2312" w:hAnsi="仿宋_GB2312" w:cs="仿宋_GB2312" w:eastAsia="仿宋_GB2312"/>
              </w:rPr>
              <w:t>（3）支持上传培训师照片、身份证件、培训师证书等图像资料。</w:t>
            </w:r>
          </w:p>
          <w:p>
            <w:pPr>
              <w:pStyle w:val="null3"/>
            </w:pPr>
            <w:r>
              <w:rPr>
                <w:rFonts w:ascii="仿宋_GB2312" w:hAnsi="仿宋_GB2312" w:cs="仿宋_GB2312" w:eastAsia="仿宋_GB2312"/>
              </w:rPr>
              <w:t>（4）支持创建、编辑或删除培训师分组，支持4级或更高层级培训师分组。</w:t>
            </w:r>
          </w:p>
          <w:p>
            <w:pPr>
              <w:pStyle w:val="null3"/>
            </w:pPr>
            <w:r>
              <w:rPr>
                <w:rFonts w:ascii="仿宋_GB2312" w:hAnsi="仿宋_GB2312" w:cs="仿宋_GB2312" w:eastAsia="仿宋_GB2312"/>
              </w:rPr>
              <w:t>（5）支持每个市、区为自己单独创建专属的培训师分组（如宝鸡市市级培训师、未央区区级培训师）</w:t>
            </w:r>
          </w:p>
          <w:p>
            <w:pPr>
              <w:pStyle w:val="null3"/>
            </w:pPr>
            <w:r>
              <w:rPr>
                <w:rFonts w:ascii="仿宋_GB2312" w:hAnsi="仿宋_GB2312" w:cs="仿宋_GB2312" w:eastAsia="仿宋_GB2312"/>
              </w:rPr>
              <w:t>（6）支持在培训师分组中设定培训师任期及分别对应省、市、区三级培训任务的讲课费标准，并将这些信息关联到培训师管理模块以实现随培训师等级变动自动更新。</w:t>
            </w:r>
          </w:p>
          <w:p>
            <w:pPr>
              <w:pStyle w:val="null3"/>
            </w:pPr>
            <w:r>
              <w:rPr>
                <w:rFonts w:ascii="仿宋_GB2312" w:hAnsi="仿宋_GB2312" w:cs="仿宋_GB2312" w:eastAsia="仿宋_GB2312"/>
              </w:rPr>
              <w:t>（7）支持对每个培训师单独创建培训履历，记录并支持查询培训师在当前任期或任一历史任期的培训场次、培训人数、培训时长、培训满意度得分情况，以及所有任期内的数据总览。</w:t>
            </w:r>
          </w:p>
          <w:p>
            <w:pPr>
              <w:pStyle w:val="null3"/>
            </w:pPr>
            <w:r>
              <w:rPr>
                <w:rFonts w:ascii="仿宋_GB2312" w:hAnsi="仿宋_GB2312" w:cs="仿宋_GB2312" w:eastAsia="仿宋_GB2312"/>
              </w:rPr>
              <w:t>（8）支持录入培训师工作开展相关信息，包括培训任务名称、任务发起人（机构）、任务起止时间、任务场次，以及单场培训场地、培训人数、培训时长、培训现场照片、培训满意度得分等，录入后自动更新相关履历信息，并计算当前培训任务应得讲课费金额。</w:t>
            </w:r>
          </w:p>
          <w:p>
            <w:pPr>
              <w:pStyle w:val="null3"/>
            </w:pPr>
            <w:r>
              <w:rPr>
                <w:rFonts w:ascii="仿宋_GB2312" w:hAnsi="仿宋_GB2312" w:cs="仿宋_GB2312" w:eastAsia="仿宋_GB2312"/>
              </w:rPr>
              <w:t>（9）支持在履历中记录培训师违规违纪及相关处理情况，涉及扣减讲课费的，需关联到培训师讲课费金额计算结果。</w:t>
            </w:r>
          </w:p>
          <w:p>
            <w:pPr>
              <w:pStyle w:val="null3"/>
            </w:pPr>
            <w:r>
              <w:rPr>
                <w:rFonts w:ascii="仿宋_GB2312" w:hAnsi="仿宋_GB2312" w:cs="仿宋_GB2312" w:eastAsia="仿宋_GB2312"/>
              </w:rPr>
              <w:t>（10）由省、市（区）、县（区）各级管理员录入的培训师，自动获得对应级别的管理权限。</w:t>
            </w:r>
          </w:p>
          <w:p>
            <w:pPr>
              <w:pStyle w:val="null3"/>
            </w:pPr>
            <w:r>
              <w:rPr>
                <w:rFonts w:ascii="仿宋_GB2312" w:hAnsi="仿宋_GB2312" w:cs="仿宋_GB2312" w:eastAsia="仿宋_GB2312"/>
              </w:rPr>
              <w:t>（11）培训师信息、培训师分组和培训师履历的管理权限应符合向下管理和区域分隔原则。</w:t>
            </w:r>
          </w:p>
          <w:p>
            <w:pPr>
              <w:pStyle w:val="null3"/>
            </w:pPr>
            <w:r>
              <w:rPr>
                <w:rFonts w:ascii="仿宋_GB2312" w:hAnsi="仿宋_GB2312" w:cs="仿宋_GB2312" w:eastAsia="仿宋_GB2312"/>
              </w:rPr>
              <w:t>（12）支持资格证、结业证、荣誉证等各类电子证书的在线设计、生成和颁发。</w:t>
            </w:r>
          </w:p>
          <w:p>
            <w:pPr>
              <w:pStyle w:val="null3"/>
            </w:pPr>
            <w:r>
              <w:rPr>
                <w:rFonts w:ascii="仿宋_GB2312" w:hAnsi="仿宋_GB2312" w:cs="仿宋_GB2312" w:eastAsia="仿宋_GB2312"/>
              </w:rPr>
              <w:t>14、课程管理</w:t>
            </w:r>
          </w:p>
          <w:p>
            <w:pPr>
              <w:pStyle w:val="null3"/>
            </w:pPr>
            <w:r>
              <w:rPr>
                <w:rFonts w:ascii="仿宋_GB2312" w:hAnsi="仿宋_GB2312" w:cs="仿宋_GB2312" w:eastAsia="仿宋_GB2312"/>
              </w:rPr>
              <w:t>（1）支持导入、编辑、删除课程。</w:t>
            </w:r>
          </w:p>
          <w:p>
            <w:pPr>
              <w:pStyle w:val="null3"/>
            </w:pPr>
            <w:r>
              <w:rPr>
                <w:rFonts w:ascii="仿宋_GB2312" w:hAnsi="仿宋_GB2312" w:cs="仿宋_GB2312" w:eastAsia="仿宋_GB2312"/>
              </w:rPr>
              <w:t>（2）支持各类常见的课件格式。</w:t>
            </w:r>
          </w:p>
          <w:p>
            <w:pPr>
              <w:pStyle w:val="null3"/>
            </w:pPr>
            <w:r>
              <w:rPr>
                <w:rFonts w:ascii="仿宋_GB2312" w:hAnsi="仿宋_GB2312" w:cs="仿宋_GB2312" w:eastAsia="仿宋_GB2312"/>
              </w:rPr>
              <w:t>（3）支持创建、编辑或删除课程分组。</w:t>
            </w:r>
          </w:p>
          <w:p>
            <w:pPr>
              <w:pStyle w:val="null3"/>
            </w:pPr>
            <w:r>
              <w:rPr>
                <w:rFonts w:ascii="仿宋_GB2312" w:hAnsi="仿宋_GB2312" w:cs="仿宋_GB2312" w:eastAsia="仿宋_GB2312"/>
              </w:rPr>
              <w:t>（4）支持4级或更高层级课程分组。</w:t>
            </w:r>
          </w:p>
          <w:p>
            <w:pPr>
              <w:pStyle w:val="null3"/>
            </w:pPr>
            <w:r>
              <w:rPr>
                <w:rFonts w:ascii="仿宋_GB2312" w:hAnsi="仿宋_GB2312" w:cs="仿宋_GB2312" w:eastAsia="仿宋_GB2312"/>
              </w:rPr>
              <w:t>（5）支持为课程或课程组分配对应不同用户组的浏览权限。</w:t>
            </w:r>
          </w:p>
          <w:p>
            <w:pPr>
              <w:pStyle w:val="null3"/>
            </w:pPr>
            <w:r>
              <w:rPr>
                <w:rFonts w:ascii="仿宋_GB2312" w:hAnsi="仿宋_GB2312" w:cs="仿宋_GB2312" w:eastAsia="仿宋_GB2312"/>
              </w:rPr>
              <w:t>（6）由省、市（区）、县（区）各级管理员上传的课程和创建的课程组，自动获得相应级别的管理权限。</w:t>
            </w:r>
          </w:p>
          <w:p>
            <w:pPr>
              <w:pStyle w:val="null3"/>
            </w:pPr>
            <w:r>
              <w:rPr>
                <w:rFonts w:ascii="仿宋_GB2312" w:hAnsi="仿宋_GB2312" w:cs="仿宋_GB2312" w:eastAsia="仿宋_GB2312"/>
              </w:rPr>
              <w:t>（7）课程和课程组的管理权限应符合向下管理和区域分隔原则。</w:t>
            </w:r>
          </w:p>
          <w:p>
            <w:pPr>
              <w:pStyle w:val="null3"/>
            </w:pPr>
            <w:r>
              <w:rPr>
                <w:rFonts w:ascii="仿宋_GB2312" w:hAnsi="仿宋_GB2312" w:cs="仿宋_GB2312" w:eastAsia="仿宋_GB2312"/>
              </w:rPr>
              <w:t>（8）支持用户对已观看达到一定时长比例的课程进行打分评价，可设置评价所需的观看时长比例。</w:t>
            </w:r>
          </w:p>
          <w:p>
            <w:pPr>
              <w:pStyle w:val="null3"/>
            </w:pPr>
            <w:r>
              <w:rPr>
                <w:rFonts w:ascii="仿宋_GB2312" w:hAnsi="仿宋_GB2312" w:cs="仿宋_GB2312" w:eastAsia="仿宋_GB2312"/>
              </w:rPr>
              <w:t>（9）与培训师管理模块关联，将培训师原创课程相关信息显示在培训师履历中，如课程数量、课程列表、观看人数、观看次数、观看时长、课程评价等。</w:t>
            </w:r>
          </w:p>
          <w:p>
            <w:pPr>
              <w:pStyle w:val="null3"/>
            </w:pPr>
            <w:r>
              <w:rPr>
                <w:rFonts w:ascii="仿宋_GB2312" w:hAnsi="仿宋_GB2312" w:cs="仿宋_GB2312" w:eastAsia="仿宋_GB2312"/>
              </w:rPr>
              <w:t>15、学习管理</w:t>
            </w:r>
          </w:p>
          <w:p>
            <w:pPr>
              <w:pStyle w:val="null3"/>
            </w:pPr>
            <w:r>
              <w:rPr>
                <w:rFonts w:ascii="仿宋_GB2312" w:hAnsi="仿宋_GB2312" w:cs="仿宋_GB2312" w:eastAsia="仿宋_GB2312"/>
              </w:rPr>
              <w:t>（1）支持创建基于单一课程的学习任务，以及包含多部课程的系列学习任务。</w:t>
            </w:r>
          </w:p>
          <w:p>
            <w:pPr>
              <w:pStyle w:val="null3"/>
            </w:pPr>
            <w:r>
              <w:rPr>
                <w:rFonts w:ascii="仿宋_GB2312" w:hAnsi="仿宋_GB2312" w:cs="仿宋_GB2312" w:eastAsia="仿宋_GB2312"/>
              </w:rPr>
              <w:t>（2）支持面向单个或多个用户、用户组推送学习任务。</w:t>
            </w:r>
          </w:p>
          <w:p>
            <w:pPr>
              <w:pStyle w:val="null3"/>
            </w:pPr>
            <w:r>
              <w:rPr>
                <w:rFonts w:ascii="仿宋_GB2312" w:hAnsi="仿宋_GB2312" w:cs="仿宋_GB2312" w:eastAsia="仿宋_GB2312"/>
              </w:rPr>
              <w:t>（3）支持为每个学习任务或系列任务设置学分，用户可通过完成学习获取相应学分。</w:t>
            </w:r>
          </w:p>
          <w:p>
            <w:pPr>
              <w:pStyle w:val="null3"/>
            </w:pPr>
            <w:r>
              <w:rPr>
                <w:rFonts w:ascii="仿宋_GB2312" w:hAnsi="仿宋_GB2312" w:cs="仿宋_GB2312" w:eastAsia="仿宋_GB2312"/>
              </w:rPr>
              <w:t>16、考核管理</w:t>
            </w:r>
          </w:p>
          <w:p>
            <w:pPr>
              <w:pStyle w:val="null3"/>
            </w:pPr>
            <w:r>
              <w:rPr>
                <w:rFonts w:ascii="仿宋_GB2312" w:hAnsi="仿宋_GB2312" w:cs="仿宋_GB2312" w:eastAsia="仿宋_GB2312"/>
              </w:rPr>
              <w:t>（1）支持创建、导入、编辑、删除各类习题。</w:t>
            </w:r>
          </w:p>
          <w:p>
            <w:pPr>
              <w:pStyle w:val="null3"/>
            </w:pPr>
            <w:r>
              <w:rPr>
                <w:rFonts w:ascii="仿宋_GB2312" w:hAnsi="仿宋_GB2312" w:cs="仿宋_GB2312" w:eastAsia="仿宋_GB2312"/>
              </w:rPr>
              <w:t>（2）支持创建、编辑或删除题库。</w:t>
            </w:r>
          </w:p>
          <w:p>
            <w:pPr>
              <w:pStyle w:val="null3"/>
            </w:pPr>
            <w:r>
              <w:rPr>
                <w:rFonts w:ascii="仿宋_GB2312" w:hAnsi="仿宋_GB2312" w:cs="仿宋_GB2312" w:eastAsia="仿宋_GB2312"/>
              </w:rPr>
              <w:t>（3）支持通过关键字检索、题目类型筛选等方式将已存在的试题批量导入题库或在不同题库间转移。</w:t>
            </w:r>
          </w:p>
          <w:p>
            <w:pPr>
              <w:pStyle w:val="null3"/>
            </w:pPr>
            <w:r>
              <w:rPr>
                <w:rFonts w:ascii="仿宋_GB2312" w:hAnsi="仿宋_GB2312" w:cs="仿宋_GB2312" w:eastAsia="仿宋_GB2312"/>
              </w:rPr>
              <w:t>（4）支持创建、编辑、删除考试。</w:t>
            </w:r>
          </w:p>
          <w:p>
            <w:pPr>
              <w:pStyle w:val="null3"/>
            </w:pPr>
            <w:r>
              <w:rPr>
                <w:rFonts w:ascii="仿宋_GB2312" w:hAnsi="仿宋_GB2312" w:cs="仿宋_GB2312" w:eastAsia="仿宋_GB2312"/>
              </w:rPr>
              <w:t>（5）支持通过单个或多个题库随机抽取指定数量试题生成试卷。</w:t>
            </w:r>
          </w:p>
          <w:p>
            <w:pPr>
              <w:pStyle w:val="null3"/>
            </w:pPr>
            <w:r>
              <w:rPr>
                <w:rFonts w:ascii="仿宋_GB2312" w:hAnsi="仿宋_GB2312" w:cs="仿宋_GB2312" w:eastAsia="仿宋_GB2312"/>
              </w:rPr>
              <w:t>（6）支持设定试卷中各类型题目的数量和分值。</w:t>
            </w:r>
          </w:p>
          <w:p>
            <w:pPr>
              <w:pStyle w:val="null3"/>
            </w:pPr>
            <w:r>
              <w:rPr>
                <w:rFonts w:ascii="仿宋_GB2312" w:hAnsi="仿宋_GB2312" w:cs="仿宋_GB2312" w:eastAsia="仿宋_GB2312"/>
              </w:rPr>
              <w:t>（7）支持设定考试开始时间、结束时间，并确保非考试时间内用户无法参与考核。</w:t>
            </w:r>
          </w:p>
          <w:p>
            <w:pPr>
              <w:pStyle w:val="null3"/>
            </w:pPr>
            <w:r>
              <w:rPr>
                <w:rFonts w:ascii="仿宋_GB2312" w:hAnsi="仿宋_GB2312" w:cs="仿宋_GB2312" w:eastAsia="仿宋_GB2312"/>
              </w:rPr>
              <w:t>（8）支持针对同一场考试中的不同考生，随机生成不同试卷。</w:t>
            </w:r>
          </w:p>
          <w:p>
            <w:pPr>
              <w:pStyle w:val="null3"/>
            </w:pPr>
            <w:r>
              <w:rPr>
                <w:rFonts w:ascii="仿宋_GB2312" w:hAnsi="仿宋_GB2312" w:cs="仿宋_GB2312" w:eastAsia="仿宋_GB2312"/>
              </w:rPr>
              <w:t>17、互动功能</w:t>
            </w:r>
          </w:p>
          <w:p>
            <w:pPr>
              <w:pStyle w:val="null3"/>
            </w:pPr>
            <w:r>
              <w:rPr>
                <w:rFonts w:ascii="仿宋_GB2312" w:hAnsi="仿宋_GB2312" w:cs="仿宋_GB2312" w:eastAsia="仿宋_GB2312"/>
              </w:rPr>
              <w:t>（1）支持创建问卷调查、线上投票等互动内容。</w:t>
            </w:r>
          </w:p>
          <w:p>
            <w:pPr>
              <w:pStyle w:val="null3"/>
            </w:pPr>
            <w:r>
              <w:rPr>
                <w:rFonts w:ascii="仿宋_GB2312" w:hAnsi="仿宋_GB2312" w:cs="仿宋_GB2312" w:eastAsia="仿宋_GB2312"/>
              </w:rPr>
              <w:t>（2）支持面向指定的单个或多个用户/用户组，发起互动。</w:t>
            </w:r>
          </w:p>
          <w:p>
            <w:pPr>
              <w:pStyle w:val="null3"/>
            </w:pPr>
            <w:r>
              <w:rPr>
                <w:rFonts w:ascii="仿宋_GB2312" w:hAnsi="仿宋_GB2312" w:cs="仿宋_GB2312" w:eastAsia="仿宋_GB2312"/>
              </w:rPr>
              <w:t>（3）支持实时查看互动情况，活动结束后支持发布互动结果。</w:t>
            </w:r>
          </w:p>
          <w:p>
            <w:pPr>
              <w:pStyle w:val="null3"/>
            </w:pPr>
            <w:r>
              <w:rPr>
                <w:rFonts w:ascii="仿宋_GB2312" w:hAnsi="仿宋_GB2312" w:cs="仿宋_GB2312" w:eastAsia="仿宋_GB2312"/>
              </w:rPr>
              <w:t>18、数据统计</w:t>
            </w:r>
          </w:p>
          <w:p>
            <w:pPr>
              <w:pStyle w:val="null3"/>
            </w:pPr>
            <w:r>
              <w:rPr>
                <w:rFonts w:ascii="仿宋_GB2312" w:hAnsi="仿宋_GB2312" w:cs="仿宋_GB2312" w:eastAsia="仿宋_GB2312"/>
              </w:rPr>
              <w:t>（1）支持平台整体数据统计呈现，如平台注册用户总数、年度/季度/月度访问量、月/周/日活跃用户数等。</w:t>
            </w:r>
          </w:p>
          <w:p>
            <w:pPr>
              <w:pStyle w:val="null3"/>
            </w:pPr>
            <w:r>
              <w:rPr>
                <w:rFonts w:ascii="仿宋_GB2312" w:hAnsi="仿宋_GB2312" w:cs="仿宋_GB2312" w:eastAsia="仿宋_GB2312"/>
              </w:rPr>
              <w:t>（2）支持面向特定时段、特定用户/用户组及特定内容（课程/课程组、习题/题库、考试/试卷等）的数据筛选。</w:t>
            </w:r>
          </w:p>
          <w:p>
            <w:pPr>
              <w:pStyle w:val="null3"/>
            </w:pPr>
            <w:r>
              <w:rPr>
                <w:rFonts w:ascii="仿宋_GB2312" w:hAnsi="仿宋_GB2312" w:cs="仿宋_GB2312" w:eastAsia="仿宋_GB2312"/>
              </w:rPr>
              <w:t>（3）支持对用户行为的统计，统计字段应包含但不限于指定时段内的登录次数、登录时长、观看课程数、完成学习任务数、参与考核数、参与问卷调查数、积分获取情况等。</w:t>
            </w:r>
          </w:p>
          <w:p>
            <w:pPr>
              <w:pStyle w:val="null3"/>
            </w:pPr>
            <w:r>
              <w:rPr>
                <w:rFonts w:ascii="仿宋_GB2312" w:hAnsi="仿宋_GB2312" w:cs="仿宋_GB2312" w:eastAsia="仿宋_GB2312"/>
              </w:rPr>
              <w:t>（4）支持对课程/课程组访问情况的统计，统计字段应包含但不限于指定时段内的浏览量、完播率、评价数、平均评价分值、访问用户列表，以及每个用户的访问次数、观看时长、评价情况等。</w:t>
            </w:r>
          </w:p>
          <w:p>
            <w:pPr>
              <w:pStyle w:val="null3"/>
            </w:pPr>
            <w:r>
              <w:rPr>
                <w:rFonts w:ascii="仿宋_GB2312" w:hAnsi="仿宋_GB2312" w:cs="仿宋_GB2312" w:eastAsia="仿宋_GB2312"/>
              </w:rPr>
              <w:t>（5）支持对学习任务/系列任务完成情况的统计，统计字段应包含但不限于任务推送人数、完成人数、整体完成率、推送用户列表，以及每个用户的任务完成情况、课程观看时长、学分获取情况等。</w:t>
            </w:r>
          </w:p>
          <w:p>
            <w:pPr>
              <w:pStyle w:val="null3"/>
            </w:pPr>
            <w:r>
              <w:rPr>
                <w:rFonts w:ascii="仿宋_GB2312" w:hAnsi="仿宋_GB2312" w:cs="仿宋_GB2312" w:eastAsia="仿宋_GB2312"/>
              </w:rPr>
              <w:t>（6）支持对习题/考题的统计，统计字段应包含但不限于题目类型、使用次数、默认分值、难度、错题率/正确率等。</w:t>
            </w:r>
          </w:p>
          <w:p>
            <w:pPr>
              <w:pStyle w:val="null3"/>
            </w:pPr>
            <w:r>
              <w:rPr>
                <w:rFonts w:ascii="仿宋_GB2312" w:hAnsi="仿宋_GB2312" w:cs="仿宋_GB2312" w:eastAsia="仿宋_GB2312"/>
              </w:rPr>
              <w:t>（7）支持对用户考核情况的统计，统计字段应包含但不限于考试开始时间、结束时间、应考人数、实考人数、整体参考率、合格率、平均成绩、应考用户列表，以及每个用户的参考时间、交卷时间、考试成绩、补考情况、试卷详情等。</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付款条件</w:t>
            </w:r>
          </w:p>
          <w:p>
            <w:pPr>
              <w:pStyle w:val="null3"/>
            </w:pPr>
            <w:r>
              <w:rPr>
                <w:rFonts w:ascii="仿宋_GB2312" w:hAnsi="仿宋_GB2312" w:cs="仿宋_GB2312" w:eastAsia="仿宋_GB2312"/>
              </w:rPr>
              <w:t>1、合同签订后，达到付款条件起30日内，支付合同总金额的40.00%。</w:t>
            </w:r>
          </w:p>
          <w:p>
            <w:pPr>
              <w:pStyle w:val="null3"/>
            </w:pPr>
            <w:r>
              <w:rPr>
                <w:rFonts w:ascii="仿宋_GB2312" w:hAnsi="仿宋_GB2312" w:cs="仿宋_GB2312" w:eastAsia="仿宋_GB2312"/>
              </w:rPr>
              <w:t>2、合同履行达总服务内容的50%后，乙方交付截至该节点的服务情况统计表，经甲方审核确认，达到付款条件起30日内，支付合同总金额的50.00%。</w:t>
            </w:r>
          </w:p>
          <w:p>
            <w:pPr>
              <w:pStyle w:val="null3"/>
            </w:pPr>
            <w:r>
              <w:rPr>
                <w:rFonts w:ascii="仿宋_GB2312" w:hAnsi="仿宋_GB2312" w:cs="仿宋_GB2312" w:eastAsia="仿宋_GB2312"/>
              </w:rPr>
              <w:t>3、项目整体完成并交付总体服务情况统计表，经甲方审核确认后，达到付款条件起30日内，支付合同总金额的10.00%。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按照政府采购合同约定的技术、服务、安全标准组织对供应商服务的履约情况进行验收，并出具验收书。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合同履行达总服务内容的50%后，乙方交付截至该节点的服务情况统计表，经甲方审核确认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项目整体完成并交付总体服务情况统计表，经甲方审核确认后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质量承诺.docx 项目理解分析.docx 培训师资.docx 服务偏离表.docx 资格证明文件.docx 服务响应.docx 分项报价表.docx 标的清单 保证金缴纳凭证.docx 培训平台技术响应.docx 业绩情况表.docx 商务偏离表.docx 服务方案.docx 监狱企业的证明文件 培训方案.docx 供应商认为有必要说明的其他资料.docx 中小企业声明函 项目团队配置.docx 供应商承诺书.docx 响应文件封面 服务质量保障措施.docx 残疾人福利性单位声明函 突发情况解决方案.docx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自磋商之日起不少于90个日历日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质量承诺.docx 项目理解分析.docx 培训师资.docx 服务偏离表.docx 资格证明文件.docx 服务响应.docx 分项报价表.docx 标的清单 保证金缴纳凭证.docx 培训平台技术响应.docx 业绩情况表.docx 商务偏离表.docx 服务方案.docx 监狱企业的证明文件 培训方案.docx 供应商认为有必要说明的其他资料.docx 中小企业声明函 项目团队配置.docx 供应商承诺书.docx 响应文件封面 服务质量保障措施.docx 残疾人福利性单位声明函 突发情况解决方案.docx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磋商文件商务条款</w:t>
            </w:r>
          </w:p>
        </w:tc>
        <w:tc>
          <w:tcPr>
            <w:tcW w:type="dxa" w:w="3322"/>
          </w:tcPr>
          <w:p>
            <w:pPr>
              <w:pStyle w:val="null3"/>
            </w:pPr>
            <w:r>
              <w:rPr>
                <w:rFonts w:ascii="仿宋_GB2312" w:hAnsi="仿宋_GB2312" w:cs="仿宋_GB2312" w:eastAsia="仿宋_GB2312"/>
              </w:rPr>
              <w:t>响应磋商文件商务条款，无重大保留或偏差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无不符合法律法规或磋商文件规定的响应无效条款</w:t>
            </w:r>
          </w:p>
        </w:tc>
        <w:tc>
          <w:tcPr>
            <w:tcW w:type="dxa" w:w="1661"/>
          </w:tcPr>
          <w:p>
            <w:pPr>
              <w:pStyle w:val="null3"/>
            </w:pPr>
            <w:r>
              <w:rPr>
                <w:rFonts w:ascii="仿宋_GB2312" w:hAnsi="仿宋_GB2312" w:cs="仿宋_GB2312" w:eastAsia="仿宋_GB2312"/>
              </w:rPr>
              <w:t>报价一览表.docx 质量承诺.docx 项目理解分析.docx 培训师资.docx 服务偏离表.docx 资格证明文件.docx 服务响应.docx 分项报价表.docx 标的清单 保证金缴纳凭证.docx 培训平台技术响应.docx 业绩情况表.docx 商务偏离表.docx 服务方案.docx 监狱企业的证明文件 培训方案.docx 供应商认为有必要说明的其他资料.docx 中小企业声明函 项目团队配置.docx 供应商承诺书.docx 响应文件封面 服务质量保障措施.docx 残疾人福利性单位声明函 突发情况解决方案.docx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一、评审内容 针对本项目提供项目理解分析方案，包括但不限于①项目背景、内容意义的理解；②供应商须对项目实施过程中存在的难点、重点分析及解决方案；③针对本项目实施的合理化建议。 二、评审标准 1、完整性：方案须全面，对评审内容中的各项要求有详细描述； 2、可实施性：切合本项目实际情况，实施步骤清晰、合理； 3、针对性：方案能够紧扣项目实际情况，内容科学合理。 三、赋分依据（满分9分） ①项目背景、内容意义的理解：每完全满足一个评审标准得1分，满分3分； ②供应商须对项目实施过程中存在的难点、重点分析及解决方案：每完全满足一个评审标准得1分，满分3； ③针对本项目实施的合理化建议:每完全满足一个评审标准得1分，满分 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项目理解分析.docx</w:t>
            </w:r>
          </w:p>
        </w:tc>
      </w:tr>
      <w:tr>
        <w:tc>
          <w:tcPr>
            <w:tcW w:type="dxa" w:w="831"/>
            <w:vMerge/>
          </w:tcPr>
          <w:p/>
        </w:tc>
        <w:tc>
          <w:tcPr>
            <w:tcW w:type="dxa" w:w="1661"/>
          </w:tcPr>
          <w:p>
            <w:pPr>
              <w:pStyle w:val="null3"/>
            </w:pPr>
            <w:r>
              <w:rPr>
                <w:rFonts w:ascii="仿宋_GB2312" w:hAnsi="仿宋_GB2312" w:cs="仿宋_GB2312" w:eastAsia="仿宋_GB2312"/>
              </w:rPr>
              <w:t>培训平台技术响应</w:t>
            </w:r>
          </w:p>
        </w:tc>
        <w:tc>
          <w:tcPr>
            <w:tcW w:type="dxa" w:w="2492"/>
          </w:tcPr>
          <w:p>
            <w:pPr>
              <w:pStyle w:val="null3"/>
            </w:pPr>
            <w:r>
              <w:rPr>
                <w:rFonts w:ascii="仿宋_GB2312" w:hAnsi="仿宋_GB2312" w:cs="仿宋_GB2312" w:eastAsia="仿宋_GB2312"/>
              </w:rPr>
              <w:t>针对磋商文件第三章 3.2.2服务要求中三、技术要求罗列的功能需求条款进行逐条响应，完全满足计10分，每有一项不满足扣0.5分，扣完为止。 供应商需针对该部分罗列的每个条目，明确答复所提供的平台是否满足其描述的功能需求，并就有关功能做出尽可能详实的描述，简单答复（如有此功能、能满足、可实现等）不得分，复制磋商文件内容不得分。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培训平台技术响应.docx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针对本项目提供服务方案，包括但不限于①项目整体方案；②进度计划及安排；③视频微课及动画视频课程安排及内容；④课程研发；⑤美化及设计服务。 二、评审标准 1、完整性：方案须全面，对评审内容中的各项要求有详细描述； 2、可实施性：切合本项目实际情况，实施步骤清晰、合理； 3、针对性：方案能够紧扣项目实际情况，内容科学合理。 三、赋分依据（满分15分） ①项目整体方案：每完全满足一个评审标准得1分，满分3分； ②进度计划及安排：每完全满足一个评审标准得1分，满分3分； ③视频微课及动画视频课程安排及内容：每完全满足一个评审标准得1分，满分3分； ④课程研发：每完全满足一个评审标准得1分，满分3分； ⑤美化及设计服务：每完全满足一个评审标准得1分，满分3分。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针对本项目提供培训方案，包括但不限于①培训方式；②培训计划；③培训理念及内容；④培训目标； 二、评审标准 1、完整性：方案须全面，对评审内容中的各项要求有详细描述； 2、可实施性：切合本项目实际情况，实施步骤清晰、合理； 3、针对性：方案能够紧扣项目实际情况，内容科学合理。 三、赋分依据（满分12分） ①培训方式：每完全满足一个评审标准得1分，满分3分； ②培训计划：每完全满足一个评审标准得1分，满分3分； ③培训理念及内容：每完全满足一个评审标准得1分，满分3分； ④培训目标：每完全满足一个评审标准得1分，满分3分。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针对本项目提供项目团队配置方案，包括但不限于①团队组织架构；②人员构成及分工；③岗位设置；④岗位责任制度。 注：②须提供项目团队人员名单（须提供联系方式及劳动合同或近6个月内任意1个月的社保缴纳证明），否则不得分。 二、评审标准 1、完整性：方案须全面，对评审内容中的各项要求有详细描述； 2、可实施性：切合本项目实际情况，实施步骤清晰、合理； 3、针对性：方案能够紧扣项目实际情况，内容科学合理。 三、赋分依据（满分6分） ①团队组织架构：每完全满足一个评审标准得0.5分，满分1.5分； ②人员构成及分工：每完全满足一个评审标准得0.5分，满分1.5分； ③岗位设置：每完全满足一个评审标准得0.5分，满分1.5分； ④岗位责任制度：每完全满足一个评审标准得0.5分，满分1.5分。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项目团队配置.docx</w:t>
            </w:r>
          </w:p>
        </w:tc>
      </w:tr>
      <w:tr>
        <w:tc>
          <w:tcPr>
            <w:tcW w:type="dxa" w:w="831"/>
            <w:vMerge/>
          </w:tcPr>
          <w:p/>
        </w:tc>
        <w:tc>
          <w:tcPr>
            <w:tcW w:type="dxa" w:w="1661"/>
          </w:tcPr>
          <w:p>
            <w:pPr>
              <w:pStyle w:val="null3"/>
            </w:pPr>
            <w:r>
              <w:rPr>
                <w:rFonts w:ascii="仿宋_GB2312" w:hAnsi="仿宋_GB2312" w:cs="仿宋_GB2312" w:eastAsia="仿宋_GB2312"/>
              </w:rPr>
              <w:t>培训师资</w:t>
            </w:r>
          </w:p>
        </w:tc>
        <w:tc>
          <w:tcPr>
            <w:tcW w:type="dxa" w:w="2492"/>
          </w:tcPr>
          <w:p>
            <w:pPr>
              <w:pStyle w:val="null3"/>
            </w:pPr>
            <w:r>
              <w:rPr>
                <w:rFonts w:ascii="仿宋_GB2312" w:hAnsi="仿宋_GB2312" w:cs="仿宋_GB2312" w:eastAsia="仿宋_GB2312"/>
              </w:rPr>
              <w:t>针对本项目提供培训服务的行业讲师及相关培训履历，并附近两年内的行业培训课程列表，每提供一人计1分，最多4分。未提供履历或履历中未附培训课程列表者不得分，行业授课经验低于两年者不得分，近两年内培训场次低于5场者不得分，无线上培训经验者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培训师资.docx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针对本项目提供服务质量保证措施，包括但不限于①项目整体质量保证承诺；②系统及网络保障；③网络安全和信息安全保障；④直播系统稳定保障；⑤线下活动安全保障措施；⑥内容保障及审核等。 二、评审标准 1、完整性：方案须全面，对评审内容中的各项要求有详细描述； 2、可实施性：切合本项目实际情况，实施步骤清晰、合理； 3、针对性：方案能够紧扣项目实际情况，内容科学合理。 三、赋分依据（满分18分） ①项目整体质量保证承诺：每完全满足一个评审标准得1分，满分3分； ②系统及网络保障：每完全满足一个评审标准得1分，满分3分； ③网络安全和信息安全保障：每完全满足一个评审标准得1分，满分3分； ④直播系统稳定保障：每完全满足一个评审标准得1分，满分3分； ⑤线下活动安全保障措施：每完全满足一个评审标准得1分，满分3分； ⑥内容保障及审核等：每完全满足一个评审标准得1分，满分3分；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服务质量保障措施.docx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一、评审内容 针对本项目提供项目保障方案，包括但不限于①重大活动后勤保障；②服务响应时限；③故障解决时间；④响应方式（现场服务、网络服务、电话服务等）。 二、评审标准 1、完整性：方案须全面，对评审内容中的各项要求有详细描述； 2、可实施性：切合本项目实际情况，实施步骤清晰、合理； 3、针对性：方案能够紧扣项目实际情况，内容科学合理。 三、赋分依据（满分6分） ①重大活动后勤保障：每完全满足一个评审标准得0.5分，满分1.5分； ②服务响应时限：每完全满足一个评审标准得0.5分，满分1.5分； ③故障解决时间：每完全满足一个评审标准得0.5分，满分1.5分； ④响应方式（现场服务、网络服务、电话服务等）：每完全满足一个评审标准得0.5分，满分1.5分；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服务响应.docx</w:t>
            </w:r>
          </w:p>
        </w:tc>
      </w:tr>
      <w:tr>
        <w:tc>
          <w:tcPr>
            <w:tcW w:type="dxa" w:w="831"/>
            <w:vMerge/>
          </w:tcPr>
          <w:p/>
        </w:tc>
        <w:tc>
          <w:tcPr>
            <w:tcW w:type="dxa" w:w="1661"/>
          </w:tcPr>
          <w:p>
            <w:pPr>
              <w:pStyle w:val="null3"/>
            </w:pPr>
            <w:r>
              <w:rPr>
                <w:rFonts w:ascii="仿宋_GB2312" w:hAnsi="仿宋_GB2312" w:cs="仿宋_GB2312" w:eastAsia="仿宋_GB2312"/>
              </w:rPr>
              <w:t>突发情况解决方案</w:t>
            </w:r>
          </w:p>
        </w:tc>
        <w:tc>
          <w:tcPr>
            <w:tcW w:type="dxa" w:w="2492"/>
          </w:tcPr>
          <w:p>
            <w:pPr>
              <w:pStyle w:val="null3"/>
            </w:pPr>
            <w:r>
              <w:rPr>
                <w:rFonts w:ascii="仿宋_GB2312" w:hAnsi="仿宋_GB2312" w:cs="仿宋_GB2312" w:eastAsia="仿宋_GB2312"/>
              </w:rPr>
              <w:t>一、评审内容 针对本项目提供突发情况解决方案，包括但不限于①可能发生的各类突发情况分析；②根据各类突发情况提供解决方案等。 二、评审标准 1、完整性：方案须全面，对评审内容中的各项要求有详细描述； 2、可实施性：切合本项目实际情况，实施步骤清晰、合理； 3、针对性：方案能够紧扣项目实际情况，内容科学合理。 三、赋分依据（满分3分） ①可能发生的各类突发情况分析：每完全满足一个评审标准得0.5分，满分1.5分； ②根据各类突发情况提供解决方案等：每完全满足一个评审标准得0.5分，满分1.5分；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突发情况解决方案.docx</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供应商针对本项目提供：培训课件、设计素材及其它服务内容不涉及任何知识产权或其它涉及第三方的法律纠纷承诺。（提供承诺书并加盖公章，未提供不得分。）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质量承诺.docx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提供供应商2022年1月至今同类项目业绩，提供一个得1分，最多得5分；未提供不计分。（提供合同复印件并加盖公章）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详见附件：项目理解分析.docx</w:t>
      </w:r>
    </w:p>
    <w:p>
      <w:pPr>
        <w:pStyle w:val="null3"/>
        <w:ind w:firstLine="960"/>
      </w:pPr>
      <w:r>
        <w:rPr>
          <w:rFonts w:ascii="仿宋_GB2312" w:hAnsi="仿宋_GB2312" w:cs="仿宋_GB2312" w:eastAsia="仿宋_GB2312"/>
        </w:rPr>
        <w:t>详见附件：培训平台技术响应.docx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详见附件：项目团队配置.docx</w:t>
      </w:r>
    </w:p>
    <w:p>
      <w:pPr>
        <w:pStyle w:val="null3"/>
        <w:ind w:firstLine="960"/>
      </w:pPr>
      <w:r>
        <w:rPr>
          <w:rFonts w:ascii="仿宋_GB2312" w:hAnsi="仿宋_GB2312" w:cs="仿宋_GB2312" w:eastAsia="仿宋_GB2312"/>
        </w:rPr>
        <w:t>详见附件：培训师资.docx</w:t>
      </w:r>
    </w:p>
    <w:p>
      <w:pPr>
        <w:pStyle w:val="null3"/>
        <w:ind w:firstLine="960"/>
      </w:pPr>
      <w:r>
        <w:rPr>
          <w:rFonts w:ascii="仿宋_GB2312" w:hAnsi="仿宋_GB2312" w:cs="仿宋_GB2312" w:eastAsia="仿宋_GB2312"/>
        </w:rPr>
        <w:t>详见附件：服务质量保障措施.docx</w:t>
      </w:r>
    </w:p>
    <w:p>
      <w:pPr>
        <w:pStyle w:val="null3"/>
        <w:ind w:firstLine="960"/>
      </w:pPr>
      <w:r>
        <w:rPr>
          <w:rFonts w:ascii="仿宋_GB2312" w:hAnsi="仿宋_GB2312" w:cs="仿宋_GB2312" w:eastAsia="仿宋_GB2312"/>
        </w:rPr>
        <w:t>详见附件：服务响应.docx</w:t>
      </w:r>
    </w:p>
    <w:p>
      <w:pPr>
        <w:pStyle w:val="null3"/>
        <w:ind w:firstLine="960"/>
      </w:pPr>
      <w:r>
        <w:rPr>
          <w:rFonts w:ascii="仿宋_GB2312" w:hAnsi="仿宋_GB2312" w:cs="仿宋_GB2312" w:eastAsia="仿宋_GB2312"/>
        </w:rPr>
        <w:t>详见附件：突发情况解决方案.docx</w:t>
      </w:r>
    </w:p>
    <w:p>
      <w:pPr>
        <w:pStyle w:val="null3"/>
        <w:ind w:firstLine="960"/>
      </w:pPr>
      <w:r>
        <w:rPr>
          <w:rFonts w:ascii="仿宋_GB2312" w:hAnsi="仿宋_GB2312" w:cs="仿宋_GB2312" w:eastAsia="仿宋_GB2312"/>
        </w:rPr>
        <w:t>详见附件：质量承诺.docx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