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版本号：ZCZX2025-CS-083-2（S）20250618001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《陕西省“十五五”民航发展规划》研究编制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ZCZX2025-CS-083-2（S）</w:t>
      </w:r>
      <w:r>
        <w:br/>
      </w:r>
      <w:r>
        <w:br/>
      </w:r>
      <w:r>
        <w:br/>
      </w:r>
    </w:p>
    <w:p>
      <w:pPr>
        <w:pStyle w:val="null3"/>
        <w:jc w:val="center"/>
        <w:outlineLvl w:val="2"/>
      </w:pPr>
      <w:r>
        <w:rPr>
          <w:rFonts w:ascii="仿宋_GB2312" w:hAnsi="仿宋_GB2312" w:cs="仿宋_GB2312" w:eastAsia="仿宋_GB2312"/>
          <w:sz w:val="28"/>
          <w:b/>
        </w:rPr>
        <w:t>陕西省交通运输厅机关</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陕西省交通运输厅机关</w:t>
      </w:r>
      <w:r>
        <w:rPr>
          <w:rFonts w:ascii="仿宋_GB2312" w:hAnsi="仿宋_GB2312" w:cs="仿宋_GB2312" w:eastAsia="仿宋_GB2312"/>
        </w:rPr>
        <w:t>委托，拟对</w:t>
      </w:r>
      <w:r>
        <w:rPr>
          <w:rFonts w:ascii="仿宋_GB2312" w:hAnsi="仿宋_GB2312" w:cs="仿宋_GB2312" w:eastAsia="仿宋_GB2312"/>
        </w:rPr>
        <w:t>《陕西省“十五五”民航发展规划》研究编制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ZCZX2025-CS-083-2（S）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《陕西省“十五五”民航发展规划》研究编制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总结“十四五”民航发展成效，分析陕西民航发展面临的机遇和挑战，提出“十五五”民航发展的总体思路、发展目标、重点任务、重大项目和保障措施等。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及授权代表本单位证明：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授权代表本单位证明（养老保险缴纳证明或劳动合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陕西省交通运输厅机关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029-88869188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高蕊玲、吴芳超、孟凌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开户名称：陕西众诚致信管理咨询有限公司</w:t>
            </w:r>
          </w:p>
          <w:p>
            <w:pPr>
              <w:pStyle w:val="null3"/>
            </w:pPr>
            <w:r>
              <w:rPr>
                <w:rFonts w:ascii="仿宋_GB2312" w:hAnsi="仿宋_GB2312" w:cs="仿宋_GB2312" w:eastAsia="仿宋_GB2312"/>
              </w:rPr>
              <w:t>开户银行：中国银行西安东二环景观路支行</w:t>
            </w:r>
          </w:p>
          <w:p>
            <w:pPr>
              <w:pStyle w:val="null3"/>
            </w:pPr>
            <w:r>
              <w:rPr>
                <w:rFonts w:ascii="仿宋_GB2312" w:hAnsi="仿宋_GB2312" w:cs="仿宋_GB2312" w:eastAsia="仿宋_GB2312"/>
              </w:rPr>
              <w:t>银行账号：103687546832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下浮5%向中标（成交）供应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陕西省交通运输厅机关</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陕西省交通运输厅机关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陕西省交通运输厅机关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联系人：吴芳超</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总结“十四五”民航发展成效，分析陕西民航发展面临的机遇和挑战，提出“十五五”民航发展的总体思路、发展目标、重点任务、重大项目和保障措施等。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陕西省“十五五”民航发展规划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标的名称：陕西省“十五五”民航发展规划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 xml:space="preserve">  一、采购内容</w:t>
            </w:r>
          </w:p>
          <w:p>
            <w:pPr>
              <w:pStyle w:val="null3"/>
              <w:ind w:firstLine="480"/>
            </w:pPr>
            <w:r>
              <w:rPr>
                <w:rFonts w:ascii="仿宋_GB2312" w:hAnsi="仿宋_GB2312" w:cs="仿宋_GB2312" w:eastAsia="仿宋_GB2312"/>
                <w:sz w:val="24"/>
              </w:rPr>
              <w:t>《陕西省</w:t>
            </w:r>
            <w:r>
              <w:rPr>
                <w:rFonts w:ascii="仿宋_GB2312" w:hAnsi="仿宋_GB2312" w:cs="仿宋_GB2312" w:eastAsia="仿宋_GB2312"/>
                <w:sz w:val="24"/>
              </w:rPr>
              <w:t>“十五五”民航发展规划》研究编制</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b/>
              </w:rPr>
              <w:t>二、主要功能或目标</w:t>
            </w:r>
          </w:p>
          <w:p>
            <w:pPr>
              <w:pStyle w:val="null3"/>
              <w:ind w:firstLine="480"/>
            </w:pPr>
            <w:r>
              <w:rPr>
                <w:rFonts w:ascii="仿宋_GB2312" w:hAnsi="仿宋_GB2312" w:cs="仿宋_GB2312" w:eastAsia="仿宋_GB2312"/>
                <w:sz w:val="24"/>
              </w:rPr>
              <w:t>按照陕西省</w:t>
            </w:r>
            <w:r>
              <w:rPr>
                <w:rFonts w:ascii="仿宋_GB2312" w:hAnsi="仿宋_GB2312" w:cs="仿宋_GB2312" w:eastAsia="仿宋_GB2312"/>
                <w:sz w:val="24"/>
              </w:rPr>
              <w:t>“十五五”交通运输规划编制工作总体部署，全面总结“十四五”陕西民航发展现状，深入分析陕西民航发展面临的形势，确定“十五五”发展目标与任务举措，为陕西“十五五”民航高质量发展做好谋篇布局。</w:t>
            </w:r>
          </w:p>
          <w:p>
            <w:pPr>
              <w:pStyle w:val="null3"/>
              <w:ind w:firstLine="480"/>
            </w:pPr>
            <w:r>
              <w:rPr>
                <w:rFonts w:ascii="仿宋_GB2312" w:hAnsi="仿宋_GB2312" w:cs="仿宋_GB2312" w:eastAsia="仿宋_GB2312"/>
                <w:sz w:val="24"/>
                <w:b/>
              </w:rPr>
              <w:t>三、规划内容要求</w:t>
            </w:r>
          </w:p>
          <w:p>
            <w:pPr>
              <w:pStyle w:val="null3"/>
              <w:ind w:firstLine="480"/>
            </w:pPr>
            <w:r>
              <w:rPr>
                <w:rFonts w:ascii="仿宋_GB2312" w:hAnsi="仿宋_GB2312" w:cs="仿宋_GB2312" w:eastAsia="仿宋_GB2312"/>
                <w:sz w:val="24"/>
              </w:rPr>
              <w:t>总结</w:t>
            </w:r>
            <w:r>
              <w:rPr>
                <w:rFonts w:ascii="仿宋_GB2312" w:hAnsi="仿宋_GB2312" w:cs="仿宋_GB2312" w:eastAsia="仿宋_GB2312"/>
                <w:sz w:val="24"/>
              </w:rPr>
              <w:t>“十四五”民航发展成效，分析陕西民航发展面临的机遇和挑战，提出“十五五”民航发展的总体思路、发展目标、重点任务、重大项目和保障措施等。</w:t>
            </w:r>
          </w:p>
          <w:p>
            <w:pPr>
              <w:pStyle w:val="null3"/>
              <w:ind w:firstLine="480"/>
            </w:pPr>
            <w:r>
              <w:rPr>
                <w:rFonts w:ascii="仿宋_GB2312" w:hAnsi="仿宋_GB2312" w:cs="仿宋_GB2312" w:eastAsia="仿宋_GB2312"/>
                <w:sz w:val="24"/>
                <w:b/>
                <w:color w:val="000000"/>
              </w:rPr>
              <w:t>四、规划成果要求</w:t>
            </w:r>
          </w:p>
          <w:p>
            <w:pPr>
              <w:pStyle w:val="null3"/>
              <w:ind w:firstLine="480"/>
            </w:pPr>
            <w:r>
              <w:rPr>
                <w:rFonts w:ascii="仿宋_GB2312" w:hAnsi="仿宋_GB2312" w:cs="仿宋_GB2312" w:eastAsia="仿宋_GB2312"/>
                <w:sz w:val="24"/>
                <w:color w:val="000000"/>
              </w:rPr>
              <w:t>研究报告需符合国家和陕西省有关规定，以及现行法律、法规和行业标准、规范等要求，满足采购人要求并通过采购人组织的专家评审。</w:t>
            </w:r>
          </w:p>
          <w:p>
            <w:pPr>
              <w:pStyle w:val="null3"/>
              <w:ind w:firstLine="480"/>
            </w:pPr>
            <w:r>
              <w:rPr>
                <w:rFonts w:ascii="仿宋_GB2312" w:hAnsi="仿宋_GB2312" w:cs="仿宋_GB2312" w:eastAsia="仿宋_GB2312"/>
                <w:sz w:val="24"/>
                <w:color w:val="000000"/>
              </w:rPr>
              <w:t>最终成果：《陕西省</w:t>
            </w:r>
            <w:r>
              <w:rPr>
                <w:rFonts w:ascii="仿宋_GB2312" w:hAnsi="仿宋_GB2312" w:cs="仿宋_GB2312" w:eastAsia="仿宋_GB2312"/>
                <w:sz w:val="24"/>
                <w:color w:val="000000"/>
              </w:rPr>
              <w:t>“十五五”民航发展规划》（含规划文本、规划说明和规划图集）纸质版</w:t>
            </w:r>
            <w:r>
              <w:rPr>
                <w:rFonts w:ascii="仿宋_GB2312" w:hAnsi="仿宋_GB2312" w:cs="仿宋_GB2312" w:eastAsia="仿宋_GB2312"/>
                <w:sz w:val="24"/>
                <w:color w:val="000000"/>
                <w:u w:val="single"/>
              </w:rPr>
              <w:t>10</w:t>
            </w:r>
            <w:r>
              <w:rPr>
                <w:rFonts w:ascii="仿宋_GB2312" w:hAnsi="仿宋_GB2312" w:cs="仿宋_GB2312" w:eastAsia="仿宋_GB2312"/>
                <w:sz w:val="24"/>
                <w:color w:val="000000"/>
              </w:rPr>
              <w:t>份，电子文件</w:t>
            </w:r>
            <w:r>
              <w:rPr>
                <w:rFonts w:ascii="仿宋_GB2312" w:hAnsi="仿宋_GB2312" w:cs="仿宋_GB2312" w:eastAsia="仿宋_GB2312"/>
                <w:sz w:val="24"/>
                <w:color w:val="000000"/>
                <w:u w:val="single"/>
              </w:rPr>
              <w:t>1</w:t>
            </w:r>
            <w:r>
              <w:rPr>
                <w:rFonts w:ascii="仿宋_GB2312" w:hAnsi="仿宋_GB2312" w:cs="仿宋_GB2312" w:eastAsia="仿宋_GB2312"/>
                <w:sz w:val="24"/>
                <w:color w:val="000000"/>
              </w:rPr>
              <w:t>份。采购人根据实际情况要求调整。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针对本项目，供应商应成立专门服务团队。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自合同签订之日起至2026年9月30日，2025年9月完成初稿。</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根据项目进度，按照采购人要求地点提供服务。</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满足采购人要求并通过采购人组织的专家审查。</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自合同生效之日起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甲方收到乙方提交的合同约定的相关资料后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供应商务必在响应文件提交截止时间30分钟前，通过项目电子化交易系统进行签到，如未进行签到，产生的一起后果由供应商自行承担。 2、磋商时无需提供纸质响应文件，成交供应商在领取成交通知书时提供纸质响应文件两份，纸质版文件须是电子化交易平台系统生成的响应文件。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2、提供会计师事务所出具的2023年度或2024年度审计报告（须赋验证码），或递交响应文件截止之日前六个月内银行开具的资信证明，或信用担保机构出具的担保函（以上三种形式的资料提供任何一种即可）；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提供会计师事务所出具的2023年度或2024年度审计报告（须赋验证码），或递交响应文件截止之日前六个月内银行开具的资信证明，或信用担保机构出具的担保函（以上三种形式的资料提供任何一种即可）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授权书及授权代表本单位证明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授权代表本单位证明（养老保险缴纳证明或劳动合同）</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w:t>
            </w:r>
          </w:p>
        </w:tc>
        <w:tc>
          <w:tcPr>
            <w:tcW w:type="dxa" w:w="3322"/>
          </w:tcPr>
          <w:p>
            <w:pPr>
              <w:pStyle w:val="null3"/>
            </w:pPr>
            <w:r>
              <w:rPr>
                <w:rFonts w:ascii="仿宋_GB2312" w:hAnsi="仿宋_GB2312" w:cs="仿宋_GB2312" w:eastAsia="仿宋_GB2312"/>
              </w:rPr>
              <w:t>磋商响应文件加盖供应商单位公章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w:t>
            </w:r>
          </w:p>
        </w:tc>
        <w:tc>
          <w:tcPr>
            <w:tcW w:type="dxa" w:w="3322"/>
          </w:tcPr>
          <w:p>
            <w:pPr>
              <w:pStyle w:val="null3"/>
            </w:pPr>
            <w:r>
              <w:rPr>
                <w:rFonts w:ascii="仿宋_GB2312" w:hAnsi="仿宋_GB2312" w:cs="仿宋_GB2312" w:eastAsia="仿宋_GB2312"/>
              </w:rPr>
              <w:t>磋商响应文件按磋商文件要求法定代表人（或负责人）或其授权代表签字</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报价超出采购预算或最高限价</w:t>
            </w:r>
          </w:p>
        </w:tc>
        <w:tc>
          <w:tcPr>
            <w:tcW w:type="dxa" w:w="3322"/>
          </w:tcPr>
          <w:p>
            <w:pPr>
              <w:pStyle w:val="null3"/>
            </w:pPr>
            <w:r>
              <w:rPr>
                <w:rFonts w:ascii="仿宋_GB2312" w:hAnsi="仿宋_GB2312" w:cs="仿宋_GB2312" w:eastAsia="仿宋_GB2312"/>
              </w:rPr>
              <w:t>磋商报价未超出采购预算或最高限价</w:t>
            </w:r>
          </w:p>
        </w:tc>
        <w:tc>
          <w:tcPr>
            <w:tcW w:type="dxa" w:w="1661"/>
          </w:tcPr>
          <w:p>
            <w:pPr>
              <w:pStyle w:val="null3"/>
            </w:pPr>
            <w:r>
              <w:rPr>
                <w:rFonts w:ascii="仿宋_GB2312" w:hAnsi="仿宋_GB2312" w:cs="仿宋_GB2312" w:eastAsia="仿宋_GB2312"/>
              </w:rPr>
              <w:t>响应报价明细表.docx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响应文件中技术、服务内容达不到采购要求，出现重大负偏差，降低了服务要求</w:t>
            </w:r>
          </w:p>
        </w:tc>
        <w:tc>
          <w:tcPr>
            <w:tcW w:type="dxa" w:w="3322"/>
          </w:tcPr>
          <w:p>
            <w:pPr>
              <w:pStyle w:val="null3"/>
            </w:pPr>
            <w:r>
              <w:rPr>
                <w:rFonts w:ascii="仿宋_GB2312" w:hAnsi="仿宋_GB2312" w:cs="仿宋_GB2312" w:eastAsia="仿宋_GB2312"/>
              </w:rPr>
              <w:t>技术、服务内容达到采购要求，未出现重大负偏差，未降低了服务要求</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响应文件中附加了采购人难以接受的条件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商务要求（合同草案条款）偏离表.docx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信用查询中列入失信被执行人、重大税收违法案件当事人名单、政府采购严重违法失信行为记录名单及其他不符合《中华人民共和国政府采购法》第二十二条规定条件的供应商，拒绝参与政府采购活动。</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通过资格和符合性审查的供应商，对商务要求的服务期限、服务地点 、考核（验收）标准和方法、支付方式及支付约定、违约责任及解决争议的方法进行响应。每响应一项内容得1分，满分5分。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1、对项目理解全面、准确，按其响应程度计0～5分。 2、对项目工作内容进行了详细的分析和策划，按其响应程度计0～5分。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总体编制思路和技术特点理解</w:t>
            </w:r>
          </w:p>
        </w:tc>
        <w:tc>
          <w:tcPr>
            <w:tcW w:type="dxa" w:w="2492"/>
          </w:tcPr>
          <w:p>
            <w:pPr>
              <w:pStyle w:val="null3"/>
            </w:pPr>
            <w:r>
              <w:rPr>
                <w:rFonts w:ascii="仿宋_GB2312" w:hAnsi="仿宋_GB2312" w:cs="仿宋_GB2312" w:eastAsia="仿宋_GB2312"/>
              </w:rPr>
              <w:t>1、总体编制思路清晰，可行性强，按其响应程度计0～5分。 2、项目技术特点理解把握准确，研究技术路线科学合理，按其响应程度计0～5分。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1、项目重难点及关键技术问题分析准确，针对性强，按其响应程度计0～5分。 2、解决重难点问题及关键技术问题对策措施全面，可行性强，按其响应程度计0～5分。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报告大纲</w:t>
            </w:r>
          </w:p>
        </w:tc>
        <w:tc>
          <w:tcPr>
            <w:tcW w:type="dxa" w:w="2492"/>
          </w:tcPr>
          <w:p>
            <w:pPr>
              <w:pStyle w:val="null3"/>
            </w:pPr>
            <w:r>
              <w:rPr>
                <w:rFonts w:ascii="仿宋_GB2312" w:hAnsi="仿宋_GB2312" w:cs="仿宋_GB2312" w:eastAsia="仿宋_GB2312"/>
              </w:rPr>
              <w:t>提供的规划报告编制大纲，结构合理、逻辑清晰、内容全面，符合实际需求，按其响应程度计0～5分.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工作计划</w:t>
            </w:r>
          </w:p>
        </w:tc>
        <w:tc>
          <w:tcPr>
            <w:tcW w:type="dxa" w:w="2492"/>
          </w:tcPr>
          <w:p>
            <w:pPr>
              <w:pStyle w:val="null3"/>
            </w:pPr>
            <w:r>
              <w:rPr>
                <w:rFonts w:ascii="仿宋_GB2312" w:hAnsi="仿宋_GB2312" w:cs="仿宋_GB2312" w:eastAsia="仿宋_GB2312"/>
              </w:rPr>
              <w:t>工作计划安排具体、合理，按其响应程度计0～5分。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1、项目质量保证措施完整、合理，按其响应程度计0～5分。 2、项目管理与风险控制方案全面，可操作性强，按其响应程度计0～5分。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后续服务计划合理可行、有完善的措施，按其响应程度计0～5分。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项目负责人具备正高级职称得2分。 项目团队（不含负责人）每配备一名高级职称人员得1分。满分3分。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1、项目组织机构配置合理、岗位设置齐全、职责划分明确，按其响应程度计0～5分。 2、项目团队均具备中级及以上职称，并具有丰富的交通规划类工作经验，按其响应程度计0～5分。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供应商提供近5年（2020年1月1日至今）类似规划项目业绩，每提供一项省、部级业绩得2分，每提供一项地市级业绩得1分。满分10分。 注：业绩以委托书或合同为依据。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详见附件：磋商方案说明.docx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详见附件：商务要求（合同草案条款）偏离表.docx</w:t>
      </w:r>
    </w:p>
    <w:p>
      <w:pPr>
        <w:pStyle w:val="null3"/>
        <w:ind w:firstLine="960"/>
      </w:pPr>
      <w:r>
        <w:rPr>
          <w:rFonts w:ascii="仿宋_GB2312" w:hAnsi="仿宋_GB2312" w:cs="仿宋_GB2312" w:eastAsia="仿宋_GB2312"/>
        </w:rPr>
        <w:t>详见附件：响应报价明细表.docx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详见附件：合同草案条款-上传.docx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