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版本号：2025-HXCT-03720250718002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明园门诊部装修项目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2025-HXCT-037</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明园门诊部装修项目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明园门诊部装修项目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中医医院明园门诊部，位于西安市未央区延和东巷，建筑面积约650平方米，单层框架结构，工程内容包含电气、给排水、暖通、装修等，具体详见本项目竞争性磋商文件、工程量清单、图纸中所涵盖采购的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采购包1（明园门诊部装修项目）：属于专门面向中小企业采购。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1、1、须提供财务报告或资信证明或磋商担保函（以上三种形式的资料提供任何一种即可）：须提供 2023 年或 2024 年度财务报告；或其基本开户银行出具的资信证明；或磋商担保函（以上三种形式的资料提供任何一种即可）。</w:t>
      </w:r>
    </w:p>
    <w:p>
      <w:pPr>
        <w:pStyle w:val="null3"/>
      </w:pPr>
      <w:r>
        <w:rPr>
          <w:rFonts w:ascii="仿宋_GB2312" w:hAnsi="仿宋_GB2312" w:cs="仿宋_GB2312" w:eastAsia="仿宋_GB2312"/>
        </w:rPr>
        <w:t>2、依法缴纳税收和社会保障资金的良好记录。：依法缴纳税收和社会保障资金的良好记录。依法缴纳税收的良好记录（提供截止至磋商时间前 12 个月内任一月份的缴费凭据,依法免税的单位应提供相关证明材料）；依法缴纳社会保障资金的良好记录（提供截止至磋商时间前 12 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供应商须具备独立承担民事责任能力的法人、其他组织或自然人，提供营业执照/事业单位法人证书/非企业专业服务机构执业许可证/自然人身份证。：供应商须具备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4、供应商须具备建筑装修装饰工程专业承包二级及以上资质，具有有效的安全生产许可证。：供应商须具备建筑装修装饰工程专业承包二级及以上资质，具有有效的安全生产许可证。</w:t>
      </w:r>
    </w:p>
    <w:p>
      <w:pPr>
        <w:pStyle w:val="null3"/>
      </w:pPr>
      <w:r>
        <w:rPr>
          <w:rFonts w:ascii="仿宋_GB2312" w:hAnsi="仿宋_GB2312" w:cs="仿宋_GB2312" w:eastAsia="仿宋_GB2312"/>
        </w:rPr>
        <w:t>5、拟派项目经理须提供在本单位注册的建筑工程专业贰级（含贰级）以上注册建造师证书及安全生产考核合格证（B 证），且无在建项目。：拟派项目经理须提供在本单位注册的建筑工程专业贰级（含贰级）以上注册建造师证书及安全生产考核合格证（B 证），且无在建项目。</w:t>
      </w:r>
    </w:p>
    <w:p>
      <w:pPr>
        <w:pStyle w:val="null3"/>
      </w:pPr>
      <w:r>
        <w:rPr>
          <w:rFonts w:ascii="仿宋_GB2312" w:hAnsi="仿宋_GB2312" w:cs="仿宋_GB2312" w:eastAsia="仿宋_GB2312"/>
        </w:rPr>
        <w:t>6、供应商应授权合法的人员参加磋商全过程，其中法定代表人直接参加磋商的，须出具法人身份证，并与营业执照上信息一致。法定代表人授权代表参加磋商的，须出具法定代表人授权书及授权代表身份证。：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7、供应商参加政府采购活动前 3 年内在经营活动中没有重大违法记录的书面声明。：供应商参加政府采购活动前 3 年内在经营活动中没有重大违法记录的书面声明。</w:t>
      </w:r>
    </w:p>
    <w:p>
      <w:pPr>
        <w:pStyle w:val="null3"/>
      </w:pPr>
      <w:r>
        <w:rPr>
          <w:rFonts w:ascii="仿宋_GB2312" w:hAnsi="仿宋_GB2312" w:cs="仿宋_GB2312" w:eastAsia="仿宋_GB2312"/>
        </w:rPr>
        <w:t>8、提供具有履行合同所必需的设备和专业技术能力的承诺。：提供具有履行合同所必需的设备和专业技术能力的承诺。</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10、本项目为专门面向中小企业采购项目，供应商应为中型企业或小型企业，监狱企业或残疾人福利性单位。：本项目为专门面向中小企业采购项目，供应商应为中型企业或小型企业，监狱企业或残疾人福利性单位。</w:t>
      </w:r>
    </w:p>
    <w:p>
      <w:pPr>
        <w:pStyle w:val="null3"/>
      </w:pPr>
      <w:r>
        <w:rPr>
          <w:rFonts w:ascii="仿宋_GB2312" w:hAnsi="仿宋_GB2312" w:cs="仿宋_GB2312" w:eastAsia="仿宋_GB2312"/>
        </w:rPr>
        <w:t>11、本项目接受不联合体投标。：本项目接受不联合体投标。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87252581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601829590@qq.com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13571998475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采购包1：1,143,100.00元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说明：中标单位与陕西省中医医院签订合同前须按中标金额的 5%作为履约保证金。合同签订后转为质保函。 形式：以支票、汇票、本票或者金融机构、担保机构出具的保函等非现金形式提交。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代理服务费收费标准：采购代理服务费的金额参照《国家计委关于印发&lt;招标代理服务收费管理暂行办法&gt;的通知》（计价格[2002]1980 号）和国家发改委办公厅颁发的《关于招标代理服务收费有关问题的通知》（发改办价格【2003】857 号）的有关规定下浮30计取）。 成交人在领取《成交通知书》之前，向采购代理机构一次付清代 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按照竞争性磋商文件、响应文件及合同要求。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联系电话：13571998475</w:t>
      </w:r>
    </w:p>
    <w:p>
      <w:pPr>
        <w:pStyle w:val="null3"/>
      </w:pPr>
      <w:r>
        <w:rPr>
          <w:rFonts w:ascii="仿宋_GB2312" w:hAnsi="仿宋_GB2312" w:cs="仿宋_GB2312" w:eastAsia="仿宋_GB2312"/>
        </w:rPr>
        <w:t>地址：西安市未央区凤城七路长和国际D座26楼</w:t>
      </w:r>
    </w:p>
    <w:p>
      <w:pPr>
        <w:pStyle w:val="null3"/>
      </w:pPr>
      <w:r>
        <w:rPr>
          <w:rFonts w:ascii="仿宋_GB2312" w:hAnsi="仿宋_GB2312" w:cs="仿宋_GB2312" w:eastAsia="仿宋_GB2312"/>
        </w:rPr>
        <w:t>邮编：601829590@qq.com</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1,143,100.00</w:t>
      </w:r>
    </w:p>
    <w:p>
      <w:pPr>
        <w:pStyle w:val="null3"/>
      </w:pPr>
      <w:r>
        <w:rPr>
          <w:rFonts w:ascii="仿宋_GB2312" w:hAnsi="仿宋_GB2312" w:cs="仿宋_GB2312" w:eastAsia="仿宋_GB2312"/>
        </w:rPr>
        <w:t>采购包最高限价（元）: 1,126,522.33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明园门诊部装修项目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1,143,100.00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标的名称：明园门诊部装修项目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375" w:right="300"/>
              <w:jc w:val="center"/>
            </w:pPr>
            <w:r>
              <w:rPr>
                <w:rFonts w:ascii="仿宋_GB2312" w:hAnsi="仿宋_GB2312" w:cs="仿宋_GB2312" w:eastAsia="仿宋_GB2312"/>
                <w:sz w:val="36"/>
                <w:b/>
              </w:rPr>
              <w:t>采购内容及要</w:t>
            </w:r>
            <w:r>
              <w:rPr>
                <w:rFonts w:ascii="仿宋_GB2312" w:hAnsi="仿宋_GB2312" w:cs="仿宋_GB2312" w:eastAsia="仿宋_GB2312"/>
                <w:sz w:val="36"/>
                <w:b/>
              </w:rPr>
              <w:t>求</w:t>
            </w:r>
          </w:p>
          <w:p>
            <w:pPr>
              <w:pStyle w:val="null3"/>
            </w:pPr>
            <w:r>
              <w:rPr>
                <w:rFonts w:ascii="仿宋_GB2312" w:hAnsi="仿宋_GB2312" w:cs="仿宋_GB2312" w:eastAsia="仿宋_GB2312"/>
                <w:sz w:val="24"/>
                <w:b/>
              </w:rPr>
              <w:t>一、项目概况：</w:t>
            </w:r>
          </w:p>
          <w:p>
            <w:pPr>
              <w:pStyle w:val="null3"/>
              <w:spacing w:after="120"/>
              <w:ind w:left="135" w:right="-60" w:firstLine="412"/>
            </w:pPr>
            <w:r>
              <w:rPr>
                <w:rFonts w:ascii="仿宋_GB2312" w:hAnsi="仿宋_GB2312" w:cs="仿宋_GB2312" w:eastAsia="仿宋_GB2312"/>
                <w:sz w:val="21"/>
              </w:rPr>
              <w:t>陕西省中医医院明园门诊部，位于西安市未央区延和东巷，建筑面积约</w:t>
            </w:r>
            <w:r>
              <w:rPr>
                <w:rFonts w:ascii="仿宋_GB2312" w:hAnsi="仿宋_GB2312" w:cs="仿宋_GB2312" w:eastAsia="仿宋_GB2312"/>
                <w:sz w:val="21"/>
              </w:rPr>
              <w:t>650平方米，单层框架结构。本次工程设计主要为拆除部分原有墙体，对门诊部流程布局进行重新规划，将中医文化、现代智能技术与医院特色有机融合，打造成为陕西省中医医院延伸机构的首个示范点，为患者提供更加优质、高效、便捷且富有中医文化氛围的医疗服务环境。</w:t>
            </w:r>
          </w:p>
          <w:p>
            <w:pPr>
              <w:pStyle w:val="null3"/>
            </w:pPr>
            <w:r>
              <w:rPr>
                <w:rFonts w:ascii="仿宋_GB2312" w:hAnsi="仿宋_GB2312" w:cs="仿宋_GB2312" w:eastAsia="仿宋_GB2312"/>
                <w:sz w:val="24"/>
                <w:b/>
              </w:rPr>
              <w:t>二、工程建设标准</w:t>
            </w:r>
            <w:r>
              <w:rPr>
                <w:rFonts w:ascii="仿宋_GB2312" w:hAnsi="仿宋_GB2312" w:cs="仿宋_GB2312" w:eastAsia="仿宋_GB2312"/>
                <w:sz w:val="24"/>
                <w:b/>
              </w:rPr>
              <w:t>：</w:t>
            </w:r>
          </w:p>
          <w:p>
            <w:pPr>
              <w:pStyle w:val="null3"/>
              <w:ind w:left="135" w:right="-60" w:firstLine="412"/>
            </w:pPr>
            <w:r>
              <w:rPr>
                <w:rFonts w:ascii="仿宋_GB2312" w:hAnsi="仿宋_GB2312" w:cs="仿宋_GB2312" w:eastAsia="仿宋_GB2312"/>
                <w:sz w:val="21"/>
              </w:rPr>
              <w:t>本工程的施工过程和成果必须符合国家有关工程建设标准强制性条文和国家或有关部门关于工程施工方面现行的标准、规范、定额、办法、示例，以及陕西省关于工程施工方面的文件、规定；</w:t>
            </w:r>
          </w:p>
          <w:p>
            <w:pPr>
              <w:pStyle w:val="null3"/>
              <w:spacing w:before="120"/>
              <w:ind w:right="360" w:firstLine="412"/>
            </w:pPr>
            <w:r>
              <w:rPr>
                <w:rFonts w:ascii="仿宋_GB2312" w:hAnsi="仿宋_GB2312" w:cs="仿宋_GB2312" w:eastAsia="仿宋_GB2312"/>
                <w:sz w:val="21"/>
              </w:rPr>
              <w:t>招标人可根据工程实际情况增减标准、规范，在施工过程中，如果国家或有关部门颁布了新的技术部分准或规范，则承包人应采用新的标准或规范进行施工。</w:t>
            </w:r>
          </w:p>
          <w:p>
            <w:pPr>
              <w:pStyle w:val="null3"/>
              <w:spacing w:before="135"/>
              <w:ind w:left="45" w:firstLine="43"/>
            </w:pPr>
            <w:r>
              <w:rPr>
                <w:rFonts w:ascii="仿宋_GB2312" w:hAnsi="仿宋_GB2312" w:cs="仿宋_GB2312" w:eastAsia="仿宋_GB2312"/>
                <w:sz w:val="24"/>
                <w:b/>
              </w:rPr>
              <w:t>三、工程地点</w:t>
            </w:r>
            <w:r>
              <w:rPr>
                <w:rFonts w:ascii="仿宋_GB2312" w:hAnsi="仿宋_GB2312" w:cs="仿宋_GB2312" w:eastAsia="仿宋_GB2312"/>
                <w:sz w:val="24"/>
                <w:b/>
              </w:rPr>
              <w:t>：</w:t>
            </w:r>
          </w:p>
          <w:p>
            <w:pPr>
              <w:pStyle w:val="null3"/>
              <w:spacing w:before="120"/>
              <w:ind w:left="45" w:firstLine="447"/>
            </w:pPr>
            <w:r>
              <w:rPr>
                <w:rFonts w:ascii="仿宋_GB2312" w:hAnsi="仿宋_GB2312" w:cs="仿宋_GB2312" w:eastAsia="仿宋_GB2312"/>
                <w:sz w:val="21"/>
              </w:rPr>
              <w:t>西安市未央区延和东巷，陕西省中医医院明园门诊部</w:t>
            </w:r>
          </w:p>
          <w:p>
            <w:pPr>
              <w:pStyle w:val="null3"/>
              <w:spacing w:before="120"/>
              <w:ind w:left="45" w:firstLine="43"/>
            </w:pPr>
            <w:r>
              <w:rPr>
                <w:rFonts w:ascii="仿宋_GB2312" w:hAnsi="仿宋_GB2312" w:cs="仿宋_GB2312" w:eastAsia="仿宋_GB2312"/>
                <w:sz w:val="24"/>
                <w:b/>
              </w:rPr>
              <w:t>四、招标内容</w:t>
            </w:r>
            <w:r>
              <w:rPr>
                <w:rFonts w:ascii="仿宋_GB2312" w:hAnsi="仿宋_GB2312" w:cs="仿宋_GB2312" w:eastAsia="仿宋_GB2312"/>
                <w:sz w:val="24"/>
                <w:b/>
              </w:rPr>
              <w:t>及要求：</w:t>
            </w:r>
          </w:p>
          <w:p>
            <w:pPr>
              <w:pStyle w:val="null3"/>
              <w:spacing w:after="120"/>
              <w:ind w:left="135" w:right="-60" w:firstLine="412"/>
            </w:pPr>
            <w:r>
              <w:rPr>
                <w:rFonts w:ascii="仿宋_GB2312" w:hAnsi="仿宋_GB2312" w:cs="仿宋_GB2312" w:eastAsia="仿宋_GB2312"/>
                <w:sz w:val="21"/>
              </w:rPr>
              <w:t>1.招标内容：陕西省中医医院明园门诊部，位于西安市未央区延和东巷，建筑面积约650平方米，单层框架结构，工程内容包含电气、给排水、暖通、装修等，具体详见本项目竞争性磋商文件、工程量清单、图纸中所涵盖采购的全部内容。</w:t>
            </w:r>
          </w:p>
          <w:p>
            <w:pPr>
              <w:pStyle w:val="null3"/>
              <w:ind w:firstLine="412"/>
            </w:pPr>
            <w:r>
              <w:rPr>
                <w:rFonts w:ascii="仿宋_GB2312" w:hAnsi="仿宋_GB2312" w:cs="仿宋_GB2312" w:eastAsia="仿宋_GB2312"/>
                <w:sz w:val="21"/>
              </w:rPr>
              <w:t>2.工期：80日历天</w:t>
            </w:r>
          </w:p>
          <w:p>
            <w:pPr>
              <w:pStyle w:val="null3"/>
              <w:spacing w:before="165"/>
              <w:ind w:left="45" w:firstLine="43"/>
            </w:pPr>
            <w:r>
              <w:rPr>
                <w:rFonts w:ascii="仿宋_GB2312" w:hAnsi="仿宋_GB2312" w:cs="仿宋_GB2312" w:eastAsia="仿宋_GB2312"/>
                <w:sz w:val="24"/>
                <w:b/>
              </w:rPr>
              <w:t>五、</w:t>
            </w:r>
            <w:r>
              <w:rPr>
                <w:rFonts w:ascii="仿宋_GB2312" w:hAnsi="仿宋_GB2312" w:cs="仿宋_GB2312" w:eastAsia="仿宋_GB2312"/>
                <w:sz w:val="24"/>
                <w:b/>
              </w:rPr>
              <w:t>付款方式</w:t>
            </w:r>
          </w:p>
          <w:p>
            <w:pPr>
              <w:pStyle w:val="null3"/>
              <w:spacing w:after="120"/>
              <w:ind w:left="135" w:right="-60" w:firstLine="412"/>
            </w:pPr>
            <w:r>
              <w:rPr>
                <w:rFonts w:ascii="仿宋_GB2312" w:hAnsi="仿宋_GB2312" w:cs="仿宋_GB2312" w:eastAsia="仿宋_GB2312"/>
                <w:sz w:val="21"/>
              </w:rPr>
              <w:t>1、在签订工程总承包合同后10天内按签约合同总价的10％拨付。工程开工后，从每月的工程进度款中扣回，至进度款60%时全部扣回。</w:t>
            </w:r>
          </w:p>
          <w:p>
            <w:pPr>
              <w:pStyle w:val="null3"/>
              <w:spacing w:after="120"/>
              <w:ind w:left="135" w:right="-60" w:firstLine="412"/>
            </w:pPr>
            <w:r>
              <w:rPr>
                <w:rFonts w:ascii="仿宋_GB2312" w:hAnsi="仿宋_GB2312" w:cs="仿宋_GB2312" w:eastAsia="仿宋_GB2312"/>
                <w:sz w:val="21"/>
              </w:rPr>
              <w:t>2、根据工程完成的实物工程量每月支付一次进度款（不包括设计变更及签证调增费用）。承包人于每月25日前申报当月完成的实际工程量，经发包人批准后，发包人拨付当期发包人审核通过的工程量价款的80%；累计付至合同价款的80%时暂停支付。</w:t>
            </w:r>
          </w:p>
          <w:p>
            <w:pPr>
              <w:pStyle w:val="null3"/>
              <w:spacing w:after="120"/>
              <w:ind w:left="135" w:right="-60" w:firstLine="412"/>
            </w:pPr>
            <w:r>
              <w:rPr>
                <w:rFonts w:ascii="仿宋_GB2312" w:hAnsi="仿宋_GB2312" w:cs="仿宋_GB2312" w:eastAsia="仿宋_GB2312"/>
                <w:sz w:val="21"/>
              </w:rPr>
              <w:t>3、承包人完成所有的专项验收及综合验收、竣工验收且资料备案后付至合同价款的90%。</w:t>
            </w:r>
          </w:p>
          <w:p>
            <w:pPr>
              <w:pStyle w:val="null3"/>
              <w:spacing w:after="120"/>
              <w:ind w:left="135" w:right="-60" w:firstLine="412"/>
            </w:pPr>
            <w:r>
              <w:rPr>
                <w:rFonts w:ascii="仿宋_GB2312" w:hAnsi="仿宋_GB2312" w:cs="仿宋_GB2312" w:eastAsia="仿宋_GB2312"/>
                <w:sz w:val="21"/>
              </w:rPr>
              <w:t>4、完成竣工结算且资料归档后支付至工程结算款的97%。</w:t>
            </w:r>
          </w:p>
          <w:p>
            <w:pPr>
              <w:pStyle w:val="null3"/>
              <w:spacing w:after="120"/>
              <w:ind w:left="135" w:right="-60" w:firstLine="412"/>
            </w:pPr>
            <w:r>
              <w:rPr>
                <w:rFonts w:ascii="仿宋_GB2312" w:hAnsi="仿宋_GB2312" w:cs="仿宋_GB2312" w:eastAsia="仿宋_GB2312"/>
                <w:sz w:val="21"/>
              </w:rPr>
              <w:t>5、质量保证（保修）金为工程结算款的3%，结算付款时扣留。自验收合格之日起一年缺陷责任期满无质量问题一次性无息付清。</w:t>
            </w:r>
          </w:p>
          <w:p>
            <w:pPr>
              <w:pStyle w:val="null3"/>
              <w:spacing w:before="165"/>
            </w:pPr>
            <w:r>
              <w:rPr>
                <w:rFonts w:ascii="仿宋_GB2312" w:hAnsi="仿宋_GB2312" w:cs="仿宋_GB2312" w:eastAsia="仿宋_GB2312"/>
                <w:sz w:val="24"/>
                <w:b/>
              </w:rPr>
              <w:t xml:space="preserve">   六、</w:t>
            </w:r>
            <w:r>
              <w:rPr>
                <w:rFonts w:ascii="仿宋_GB2312" w:hAnsi="仿宋_GB2312" w:cs="仿宋_GB2312" w:eastAsia="仿宋_GB2312"/>
                <w:sz w:val="24"/>
                <w:b/>
              </w:rPr>
              <w:t>其他要求</w:t>
            </w:r>
          </w:p>
          <w:p>
            <w:pPr>
              <w:pStyle w:val="null3"/>
              <w:ind w:firstLine="408"/>
            </w:pPr>
            <w:r>
              <w:rPr>
                <w:rFonts w:ascii="仿宋_GB2312" w:hAnsi="仿宋_GB2312" w:cs="仿宋_GB2312" w:eastAsia="仿宋_GB2312"/>
                <w:sz w:val="21"/>
              </w:rPr>
              <w:t>1</w:t>
            </w:r>
            <w:r>
              <w:rPr>
                <w:rFonts w:ascii="仿宋_GB2312" w:hAnsi="仿宋_GB2312" w:cs="仿宋_GB2312" w:eastAsia="仿宋_GB2312"/>
                <w:sz w:val="21"/>
              </w:rPr>
              <w:t>.施工材料、工艺执行绿色建筑标准。</w:t>
            </w:r>
          </w:p>
          <w:p>
            <w:pPr>
              <w:pStyle w:val="null3"/>
              <w:spacing w:before="15"/>
            </w:pPr>
            <w:r>
              <w:rPr>
                <w:rFonts w:ascii="仿宋_GB2312" w:hAnsi="仿宋_GB2312" w:cs="仿宋_GB2312" w:eastAsia="仿宋_GB2312"/>
                <w:sz w:val="21"/>
              </w:rPr>
              <w:t>2</w:t>
            </w:r>
            <w:r>
              <w:rPr>
                <w:rFonts w:ascii="仿宋_GB2312" w:hAnsi="仿宋_GB2312" w:cs="仿宋_GB2312" w:eastAsia="仿宋_GB2312"/>
                <w:sz w:val="21"/>
              </w:rPr>
              <w:t>.做好成品保护，施工期间造成损坏、污染的，需无偿维修或者更换。</w:t>
            </w:r>
          </w:p>
          <w:p>
            <w:pPr>
              <w:pStyle w:val="null3"/>
              <w:spacing w:before="15"/>
            </w:pPr>
            <w:r>
              <w:rPr>
                <w:rFonts w:ascii="仿宋_GB2312" w:hAnsi="仿宋_GB2312" w:cs="仿宋_GB2312" w:eastAsia="仿宋_GB2312"/>
                <w:sz w:val="21"/>
              </w:rPr>
              <w:t>3</w:t>
            </w:r>
            <w:r>
              <w:rPr>
                <w:rFonts w:ascii="仿宋_GB2312" w:hAnsi="仿宋_GB2312" w:cs="仿宋_GB2312" w:eastAsia="仿宋_GB2312"/>
                <w:sz w:val="21"/>
              </w:rPr>
              <w:t>.项目必须执行环保、安全文明施工要求。</w:t>
            </w:r>
          </w:p>
          <w:p>
            <w:pPr>
              <w:pStyle w:val="null3"/>
              <w:spacing w:before="15"/>
            </w:pPr>
            <w:r>
              <w:rPr>
                <w:rFonts w:ascii="仿宋_GB2312" w:hAnsi="仿宋_GB2312" w:cs="仿宋_GB2312" w:eastAsia="仿宋_GB2312"/>
                <w:sz w:val="21"/>
              </w:rPr>
              <w:t>4</w:t>
            </w:r>
            <w:r>
              <w:rPr>
                <w:rFonts w:ascii="仿宋_GB2312" w:hAnsi="仿宋_GB2312" w:cs="仿宋_GB2312" w:eastAsia="仿宋_GB2312"/>
                <w:sz w:val="21"/>
              </w:rPr>
              <w:t>.本项目按照综合报价的方式进行，综合单价包含但不限于各种规费、税费、管理费等。</w:t>
            </w:r>
          </w:p>
          <w:p>
            <w:pPr>
              <w:pStyle w:val="null3"/>
            </w:pPr>
            <w:r>
              <w:rPr>
                <w:rFonts w:ascii="仿宋_GB2312" w:hAnsi="仿宋_GB2312" w:cs="仿宋_GB2312" w:eastAsia="仿宋_GB2312"/>
                <w:sz w:val="21"/>
              </w:rPr>
              <w:t>5</w:t>
            </w:r>
            <w:r>
              <w:rPr>
                <w:rFonts w:ascii="仿宋_GB2312" w:hAnsi="仿宋_GB2312" w:cs="仿宋_GB2312" w:eastAsia="仿宋_GB2312"/>
                <w:sz w:val="21"/>
              </w:rPr>
              <w:t>.本项目</w:t>
            </w:r>
            <w:r>
              <w:rPr>
                <w:rFonts w:ascii="仿宋_GB2312" w:hAnsi="仿宋_GB2312" w:cs="仿宋_GB2312" w:eastAsia="仿宋_GB2312"/>
                <w:sz w:val="21"/>
              </w:rPr>
              <w:t>无</w:t>
            </w:r>
            <w:r>
              <w:rPr>
                <w:rFonts w:ascii="仿宋_GB2312" w:hAnsi="仿宋_GB2312" w:cs="仿宋_GB2312" w:eastAsia="仿宋_GB2312"/>
                <w:sz w:val="21"/>
              </w:rPr>
              <w:t>预留金</w:t>
            </w:r>
            <w:r>
              <w:rPr>
                <w:rFonts w:ascii="仿宋_GB2312" w:hAnsi="仿宋_GB2312" w:cs="仿宋_GB2312" w:eastAsia="仿宋_GB2312"/>
                <w:sz w:val="21"/>
              </w:rPr>
              <w:t>。</w:t>
            </w:r>
          </w:p>
          <w:p>
            <w:pPr>
              <w:pStyle w:val="null3"/>
              <w:spacing w:before="15"/>
            </w:pPr>
            <w:r>
              <w:rPr>
                <w:rFonts w:ascii="仿宋_GB2312" w:hAnsi="仿宋_GB2312" w:cs="仿宋_GB2312" w:eastAsia="仿宋_GB2312"/>
                <w:sz w:val="21"/>
              </w:rPr>
              <w:t>6</w:t>
            </w:r>
            <w:r>
              <w:rPr>
                <w:rFonts w:ascii="仿宋_GB2312" w:hAnsi="仿宋_GB2312" w:cs="仿宋_GB2312" w:eastAsia="仿宋_GB2312"/>
                <w:sz w:val="21"/>
              </w:rPr>
              <w:t xml:space="preserve">.本项目保修期为 </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年。</w:t>
            </w:r>
          </w:p>
          <w:p>
            <w:pPr>
              <w:pStyle w:val="null3"/>
              <w:spacing w:before="165" w:after="15"/>
            </w:pPr>
            <w:r>
              <w:rPr>
                <w:rFonts w:ascii="仿宋_GB2312" w:hAnsi="仿宋_GB2312" w:cs="仿宋_GB2312" w:eastAsia="仿宋_GB2312"/>
                <w:sz w:val="24"/>
                <w:b/>
              </w:rPr>
              <w:t xml:space="preserve">   七、本项目工程清</w:t>
            </w:r>
            <w:r>
              <w:rPr>
                <w:rFonts w:ascii="仿宋_GB2312" w:hAnsi="仿宋_GB2312" w:cs="仿宋_GB2312" w:eastAsia="仿宋_GB2312"/>
                <w:sz w:val="24"/>
                <w:b/>
              </w:rPr>
              <w:t>单(详见附件）</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r>
          </w:p>
          <w:p>
            <w:pPr>
              <w:pStyle w:val="null3"/>
              <w:ind w:firstLine="388"/>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本工程的施工过程和成果必须符合国家有关工程建设标准强制性条文和国家或有关部门关于工程施工方面现行的标准、规范、定额、办法、示例，以及陕西省关于工程施工方面的文件、规定； 招标人可根据工程实际情况增减标准、规范，在施工过程中，如果国家或有关部门颁布了新的技术部分准或规范，则承包人应采用新的标准或规范进行施工。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1.施工材料、工艺执行绿色建筑标准。 2.做好成品保护，施工期间造成损坏、污染的，需无偿维修或者更换。 3.项目必须执行环保、安全文明施工要求。 4.本项目按照综合报价的方式进行，综合单价包含但不限于各种规费、税费、管理费等。 5.本项目无预留金。 6.本项目保修期为 1 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资格要求内容.docx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资格要求内容.docx 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资格要求内容.docx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1、须提供财务报告或资信证明或磋商担保函（以上三种形式的资料提供任何一种即可）</w:t>
            </w:r>
          </w:p>
        </w:tc>
        <w:tc>
          <w:tcPr>
            <w:tcW w:type="dxa" w:w="3322"/>
          </w:tcPr>
          <w:p>
            <w:pPr>
              <w:pStyle w:val="null3"/>
            </w:pPr>
            <w:r>
              <w:rPr>
                <w:rFonts w:ascii="仿宋_GB2312" w:hAnsi="仿宋_GB2312" w:cs="仿宋_GB2312" w:eastAsia="仿宋_GB2312"/>
              </w:rPr>
              <w:t>须提供 2023 年或 2024 年度财务报告；或其基本开户银行出具的资信证明；或磋商担保函（以上三种形式的资料提供任何一种即可）。</w:t>
            </w:r>
          </w:p>
        </w:tc>
        <w:tc>
          <w:tcPr>
            <w:tcW w:type="dxa" w:w="1661"/>
          </w:tcPr>
          <w:p>
            <w:pPr>
              <w:pStyle w:val="null3"/>
            </w:pPr>
            <w:r>
              <w:rPr>
                <w:rFonts w:ascii="仿宋_GB2312" w:hAnsi="仿宋_GB2312" w:cs="仿宋_GB2312" w:eastAsia="仿宋_GB2312"/>
              </w:rPr>
              <w:t>资格要求内容.docx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依法缴纳税收和社会保障资金的良好记录。依法缴纳税收的良好记录（提供截止至磋商时间前 12 个月内任一月份的缴费凭据,依法免税的单位应提供相关证明材料）；依法缴纳社会保障资金的良好记录（提供截止至磋商时间前 12 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资格要求内容.docx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供应商须具备独立承担民事责任能力的法人、其他组织或自然人，提供营业执照/事业单位法人证书/非企业专业服务机构执业许可证/自然人身份证。</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资格要求内容.docx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供应商须具备建筑装修装饰工程专业承包二级及以上资质，具有有效的安全生产许可证。</w:t>
            </w:r>
          </w:p>
        </w:tc>
        <w:tc>
          <w:tcPr>
            <w:tcW w:type="dxa" w:w="3322"/>
          </w:tcPr>
          <w:p>
            <w:pPr>
              <w:pStyle w:val="null3"/>
            </w:pPr>
            <w:r>
              <w:rPr>
                <w:rFonts w:ascii="仿宋_GB2312" w:hAnsi="仿宋_GB2312" w:cs="仿宋_GB2312" w:eastAsia="仿宋_GB2312"/>
              </w:rPr>
              <w:t>供应商须具备建筑装修装饰工程专业承包二级及以上资质，具有有效的安全生产许可证。</w:t>
            </w:r>
          </w:p>
        </w:tc>
        <w:tc>
          <w:tcPr>
            <w:tcW w:type="dxa" w:w="1661"/>
          </w:tcPr>
          <w:p>
            <w:pPr>
              <w:pStyle w:val="null3"/>
            </w:pPr>
            <w:r>
              <w:rPr>
                <w:rFonts w:ascii="仿宋_GB2312" w:hAnsi="仿宋_GB2312" w:cs="仿宋_GB2312" w:eastAsia="仿宋_GB2312"/>
              </w:rPr>
              <w:t>资格要求内容.docx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拟派项目经理须提供在本单位注册的建筑工程专业贰级（含贰级）以上注册建造师证书及安全生产考核合格证（B 证），且无在建项目。</w:t>
            </w:r>
          </w:p>
        </w:tc>
        <w:tc>
          <w:tcPr>
            <w:tcW w:type="dxa" w:w="3322"/>
          </w:tcPr>
          <w:p>
            <w:pPr>
              <w:pStyle w:val="null3"/>
            </w:pPr>
            <w:r>
              <w:rPr>
                <w:rFonts w:ascii="仿宋_GB2312" w:hAnsi="仿宋_GB2312" w:cs="仿宋_GB2312" w:eastAsia="仿宋_GB2312"/>
              </w:rPr>
              <w:t>拟派项目经理须提供在本单位注册的建筑工程专业贰级（含贰级）以上注册建造师证书及安全生产考核合格证（B 证），且无在建项目。</w:t>
            </w:r>
          </w:p>
        </w:tc>
        <w:tc>
          <w:tcPr>
            <w:tcW w:type="dxa" w:w="1661"/>
          </w:tcPr>
          <w:p>
            <w:pPr>
              <w:pStyle w:val="null3"/>
            </w:pPr>
            <w:r>
              <w:rPr>
                <w:rFonts w:ascii="仿宋_GB2312" w:hAnsi="仿宋_GB2312" w:cs="仿宋_GB2312" w:eastAsia="仿宋_GB2312"/>
              </w:rPr>
              <w:t>资格要求内容.docx 承诺.docx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资格要求内容.docx 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 3 年内在经营活动中没有重大违法记录的书面声明。</w:t>
            </w:r>
          </w:p>
        </w:tc>
        <w:tc>
          <w:tcPr>
            <w:tcW w:type="dxa" w:w="3322"/>
          </w:tcPr>
          <w:p>
            <w:pPr>
              <w:pStyle w:val="null3"/>
            </w:pPr>
            <w:r>
              <w:rPr>
                <w:rFonts w:ascii="仿宋_GB2312" w:hAnsi="仿宋_GB2312" w:cs="仿宋_GB2312" w:eastAsia="仿宋_GB2312"/>
              </w:rPr>
              <w:t>供应商参加政府采购活动前 3 年内在经营活动中没有重大违法记录的书面声明。</w:t>
            </w:r>
          </w:p>
        </w:tc>
        <w:tc>
          <w:tcPr>
            <w:tcW w:type="dxa" w:w="1661"/>
          </w:tcPr>
          <w:p>
            <w:pPr>
              <w:pStyle w:val="null3"/>
            </w:pPr>
            <w:r>
              <w:rPr>
                <w:rFonts w:ascii="仿宋_GB2312" w:hAnsi="仿宋_GB2312" w:cs="仿宋_GB2312" w:eastAsia="仿宋_GB2312"/>
              </w:rPr>
              <w:t>资格要求内容.docx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提供具有履行合同所必需的设备和专业技术能力的承诺。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资格要求内容.docx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资格要求内容.docx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本项目为专门面向中小企业采购项目，供应商应为中型企业或小型企业，监狱企业或残疾人福利性单位。</w:t>
            </w:r>
          </w:p>
        </w:tc>
        <w:tc>
          <w:tcPr>
            <w:tcW w:type="dxa" w:w="3322"/>
          </w:tcPr>
          <w:p>
            <w:pPr>
              <w:pStyle w:val="null3"/>
            </w:pPr>
            <w:r>
              <w:rPr>
                <w:rFonts w:ascii="仿宋_GB2312" w:hAnsi="仿宋_GB2312" w:cs="仿宋_GB2312" w:eastAsia="仿宋_GB2312"/>
              </w:rPr>
              <w:t>本项目为专门面向中小企业采购项目，供应商应为中型企业或小型企业，监狱企业或残疾人福利性单位。</w:t>
            </w:r>
          </w:p>
        </w:tc>
        <w:tc>
          <w:tcPr>
            <w:tcW w:type="dxa" w:w="1661"/>
          </w:tcPr>
          <w:p>
            <w:pPr>
              <w:pStyle w:val="null3"/>
            </w:pPr>
            <w:r>
              <w:rPr>
                <w:rFonts w:ascii="仿宋_GB2312" w:hAnsi="仿宋_GB2312" w:cs="仿宋_GB2312" w:eastAsia="仿宋_GB2312"/>
              </w:rPr>
              <w:t>资格要求内容.docx 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本项目接受不联合体投标。</w:t>
            </w:r>
          </w:p>
        </w:tc>
        <w:tc>
          <w:tcPr>
            <w:tcW w:type="dxa" w:w="3322"/>
          </w:tcPr>
          <w:p>
            <w:pPr>
              <w:pStyle w:val="null3"/>
            </w:pPr>
            <w:r>
              <w:rPr>
                <w:rFonts w:ascii="仿宋_GB2312" w:hAnsi="仿宋_GB2312" w:cs="仿宋_GB2312" w:eastAsia="仿宋_GB2312"/>
              </w:rPr>
              <w:t>本项目接受不联合体投标。</w:t>
            </w:r>
          </w:p>
        </w:tc>
        <w:tc>
          <w:tcPr>
            <w:tcW w:type="dxa" w:w="1661"/>
          </w:tcPr>
          <w:p>
            <w:pPr>
              <w:pStyle w:val="null3"/>
            </w:pPr>
            <w:r>
              <w:rPr>
                <w:rFonts w:ascii="仿宋_GB2312" w:hAnsi="仿宋_GB2312" w:cs="仿宋_GB2312" w:eastAsia="仿宋_GB2312"/>
              </w:rPr>
              <w:t>资格要求内容.docx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投标文件的的份数是否满足要求；签字、盖章是否有效，字迹是否清晰可辨；</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投标内容是否完整；</w:t>
            </w:r>
          </w:p>
        </w:tc>
        <w:tc>
          <w:tcPr>
            <w:tcW w:type="dxa" w:w="3322"/>
          </w:tcPr>
          <w:p>
            <w:pPr>
              <w:pStyle w:val="null3"/>
            </w:pPr>
            <w:r>
              <w:rPr>
                <w:rFonts w:ascii="仿宋_GB2312" w:hAnsi="仿宋_GB2312" w:cs="仿宋_GB2312" w:eastAsia="仿宋_GB2312"/>
              </w:rPr>
              <w:t>投标内容是否完整；</w:t>
            </w:r>
          </w:p>
        </w:tc>
        <w:tc>
          <w:tcPr>
            <w:tcW w:type="dxa" w:w="1661"/>
          </w:tcPr>
          <w:p>
            <w:pPr>
              <w:pStyle w:val="null3"/>
            </w:pPr>
            <w:r>
              <w:rPr>
                <w:rFonts w:ascii="仿宋_GB2312" w:hAnsi="仿宋_GB2312" w:cs="仿宋_GB2312" w:eastAsia="仿宋_GB2312"/>
              </w:rPr>
              <w:t>响应文件封面 已标价工程量清单 资格要求内容.docx 中小企业声明函 残疾人福利性单位声明函 其他技术方案.docx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工期是否满足要求；</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付款方式是否完全响应。</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针对本项目内容提出适用于本项目的施工方案</w:t>
            </w:r>
          </w:p>
        </w:tc>
        <w:tc>
          <w:tcPr>
            <w:tcW w:type="dxa" w:w="2492"/>
          </w:tcPr>
          <w:p>
            <w:pPr>
              <w:pStyle w:val="null3"/>
            </w:pPr>
            <w:r>
              <w:rPr>
                <w:rFonts w:ascii="仿宋_GB2312" w:hAnsi="仿宋_GB2312" w:cs="仿宋_GB2312" w:eastAsia="仿宋_GB2312"/>
              </w:rPr>
              <w:t>针对本项目内容提出适用于本项目的施工方案,方案包括：①施工技术方案；②施工场地管理方案；③场地人员管理方案： 方案科学合理、安全可行，完全满足项目要求的得3-5分； 方案有一定的可行性，基本能满足项目要求的得1-3分； 方案有较多欠缺的，无法保证使用的得0-1分。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其他技术方案.docx</w:t>
            </w:r>
          </w:p>
        </w:tc>
      </w:tr>
      <w:tr>
        <w:tc>
          <w:tcPr>
            <w:tcW w:type="dxa" w:w="831"/>
            <w:vMerge/>
          </w:tcPr>
          <w:p/>
        </w:tc>
        <w:tc>
          <w:tcPr>
            <w:tcW w:type="dxa" w:w="1661"/>
          </w:tcPr>
          <w:p>
            <w:pPr>
              <w:pStyle w:val="null3"/>
            </w:pPr>
            <w:r>
              <w:rPr>
                <w:rFonts w:ascii="仿宋_GB2312" w:hAnsi="仿宋_GB2312" w:cs="仿宋_GB2312" w:eastAsia="仿宋_GB2312"/>
              </w:rPr>
              <w:t>针对本项目内容提出适用于本项目的工程质量的技术组织措施</w:t>
            </w:r>
          </w:p>
        </w:tc>
        <w:tc>
          <w:tcPr>
            <w:tcW w:type="dxa" w:w="2492"/>
          </w:tcPr>
          <w:p>
            <w:pPr>
              <w:pStyle w:val="null3"/>
            </w:pPr>
            <w:r>
              <w:rPr>
                <w:rFonts w:ascii="仿宋_GB2312" w:hAnsi="仿宋_GB2312" w:cs="仿宋_GB2312" w:eastAsia="仿宋_GB2312"/>
              </w:rPr>
              <w:t>针对本项目内容提出适用于本项目的工程质量的技术组织措施： 组织措施科学合理、合理性及针对性强，完全满足项目要求的得3-5分； 组织措施稍有欠缺，有一定的可行性，但能够满足项目需求的得1-3分； 组织措施有较多欠缺的，无法保证项目实施的得0-1分。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其他技术方案.docx</w:t>
            </w:r>
          </w:p>
        </w:tc>
      </w:tr>
      <w:tr>
        <w:tc>
          <w:tcPr>
            <w:tcW w:type="dxa" w:w="831"/>
            <w:vMerge/>
          </w:tcPr>
          <w:p/>
        </w:tc>
        <w:tc>
          <w:tcPr>
            <w:tcW w:type="dxa" w:w="1661"/>
          </w:tcPr>
          <w:p>
            <w:pPr>
              <w:pStyle w:val="null3"/>
            </w:pPr>
            <w:r>
              <w:rPr>
                <w:rFonts w:ascii="仿宋_GB2312" w:hAnsi="仿宋_GB2312" w:cs="仿宋_GB2312" w:eastAsia="仿宋_GB2312"/>
              </w:rPr>
              <w:t>针对本项目内容提出适用于本项目的施工安全的技术组织措施</w:t>
            </w:r>
          </w:p>
        </w:tc>
        <w:tc>
          <w:tcPr>
            <w:tcW w:type="dxa" w:w="2492"/>
          </w:tcPr>
          <w:p>
            <w:pPr>
              <w:pStyle w:val="null3"/>
            </w:pPr>
            <w:r>
              <w:rPr>
                <w:rFonts w:ascii="仿宋_GB2312" w:hAnsi="仿宋_GB2312" w:cs="仿宋_GB2312" w:eastAsia="仿宋_GB2312"/>
              </w:rPr>
              <w:t>针对本项目内容提出适用于本项目的施工安全的技术组织措施： 组织措施科学合理、合理性及针对性强，完全满足项目要求的得3-5分； 组织措施稍有欠缺，有一定的可行性，但能够满足项目需求的得 1-3分； 组织措施有较多欠缺的，无法保证项目实施的得0-1分。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其他技术方案.docx</w:t>
            </w:r>
          </w:p>
        </w:tc>
      </w:tr>
      <w:tr>
        <w:tc>
          <w:tcPr>
            <w:tcW w:type="dxa" w:w="831"/>
            <w:vMerge/>
          </w:tcPr>
          <w:p/>
        </w:tc>
        <w:tc>
          <w:tcPr>
            <w:tcW w:type="dxa" w:w="1661"/>
          </w:tcPr>
          <w:p>
            <w:pPr>
              <w:pStyle w:val="null3"/>
            </w:pPr>
            <w:r>
              <w:rPr>
                <w:rFonts w:ascii="仿宋_GB2312" w:hAnsi="仿宋_GB2312" w:cs="仿宋_GB2312" w:eastAsia="仿宋_GB2312"/>
              </w:rPr>
              <w:t>针对本项目内容提出适用于本项目的造价控制措施的技术组织措施</w:t>
            </w:r>
          </w:p>
        </w:tc>
        <w:tc>
          <w:tcPr>
            <w:tcW w:type="dxa" w:w="2492"/>
          </w:tcPr>
          <w:p>
            <w:pPr>
              <w:pStyle w:val="null3"/>
            </w:pPr>
            <w:r>
              <w:rPr>
                <w:rFonts w:ascii="仿宋_GB2312" w:hAnsi="仿宋_GB2312" w:cs="仿宋_GB2312" w:eastAsia="仿宋_GB2312"/>
              </w:rPr>
              <w:t>针对本项目内容提出适用于本项目的造价控制措施的技术组织措施： 组织措施科学合理、合理性及针对性强，完全满足项目要求的得3-5分； 组织措施稍有欠缺，有一定的可行性，但能够满足项目需求的得1-3分； 组织措施有较多欠缺的，无法保证项目实施的得0-1分。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其他技术方案.docx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针对本项目施工范围及工期要求内容提出适用于本项目的确保工程进度计划（网络图/横道图）与工期保证措施</w:t>
            </w:r>
          </w:p>
        </w:tc>
        <w:tc>
          <w:tcPr>
            <w:tcW w:type="dxa" w:w="2492"/>
          </w:tcPr>
          <w:p>
            <w:pPr>
              <w:pStyle w:val="null3"/>
            </w:pPr>
            <w:r>
              <w:rPr>
                <w:rFonts w:ascii="仿宋_GB2312" w:hAnsi="仿宋_GB2312" w:cs="仿宋_GB2312" w:eastAsia="仿宋_GB2312"/>
              </w:rPr>
              <w:t>针对本项目施工范围及工期要求内容提出适用于本项目的确保工程进度计划（网络图/横道图）与工期保证措施： 施工网络图、横道图或工期进度表 科学合理、合理性及针对性强完全满足项目要求的得3-5分； 施工网络图、横道图或工期进度表 稍有欠缺，有一定的可行性，但能够满足项目需求的得1-3分； 施工网络图、横道图或工期进度表 缺项、漏项，表述混乱且无法保证项目实施的得0-1分；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其他技术方案.docx</w:t>
            </w:r>
          </w:p>
        </w:tc>
      </w:tr>
      <w:tr>
        <w:tc>
          <w:tcPr>
            <w:tcW w:type="dxa" w:w="831"/>
            <w:vMerge/>
          </w:tcPr>
          <w:p/>
        </w:tc>
        <w:tc>
          <w:tcPr>
            <w:tcW w:type="dxa" w:w="1661"/>
          </w:tcPr>
          <w:p>
            <w:pPr>
              <w:pStyle w:val="null3"/>
            </w:pPr>
            <w:r>
              <w:rPr>
                <w:rFonts w:ascii="仿宋_GB2312" w:hAnsi="仿宋_GB2312" w:cs="仿宋_GB2312" w:eastAsia="仿宋_GB2312"/>
              </w:rPr>
              <w:t>针对本项目内容提出适用于本项目的确保文明施工的技术组织措施</w:t>
            </w:r>
          </w:p>
        </w:tc>
        <w:tc>
          <w:tcPr>
            <w:tcW w:type="dxa" w:w="2492"/>
          </w:tcPr>
          <w:p>
            <w:pPr>
              <w:pStyle w:val="null3"/>
            </w:pPr>
            <w:r>
              <w:rPr>
                <w:rFonts w:ascii="仿宋_GB2312" w:hAnsi="仿宋_GB2312" w:cs="仿宋_GB2312" w:eastAsia="仿宋_GB2312"/>
              </w:rPr>
              <w:t>针对本项目内容提出适用于本项目的确保文明施工的技术组织措施； 组织措施科学合理、合理性及针对性强，完全满足项目要求的得3-5分； 组织措施稍有欠缺，有一定的可行性，但能够满足项目需求的得1-3分； 组织措施有较多欠缺的，无法保证项目实施的得0-1分。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其他技术方案.docx</w:t>
            </w:r>
          </w:p>
        </w:tc>
      </w:tr>
      <w:tr>
        <w:tc>
          <w:tcPr>
            <w:tcW w:type="dxa" w:w="831"/>
            <w:vMerge/>
          </w:tcPr>
          <w:p/>
        </w:tc>
        <w:tc>
          <w:tcPr>
            <w:tcW w:type="dxa" w:w="1661"/>
          </w:tcPr>
          <w:p>
            <w:pPr>
              <w:pStyle w:val="null3"/>
            </w:pPr>
            <w:r>
              <w:rPr>
                <w:rFonts w:ascii="仿宋_GB2312" w:hAnsi="仿宋_GB2312" w:cs="仿宋_GB2312" w:eastAsia="仿宋_GB2312"/>
              </w:rPr>
              <w:t>项目经理及项目管理机构组成人员</w:t>
            </w:r>
          </w:p>
        </w:tc>
        <w:tc>
          <w:tcPr>
            <w:tcW w:type="dxa" w:w="2492"/>
          </w:tcPr>
          <w:p>
            <w:pPr>
              <w:pStyle w:val="null3"/>
            </w:pPr>
            <w:r>
              <w:rPr>
                <w:rFonts w:ascii="仿宋_GB2312" w:hAnsi="仿宋_GB2312" w:cs="仿宋_GB2312" w:eastAsia="仿宋_GB2312"/>
              </w:rPr>
              <w:t>针对本项目内容提出适用于本项目的项目部拟派人员，①项目经理、②技术负责人、③质量员、④施工员、⑤安全员、⑥财务管理人员。 拟派人员齐全，各岗位人员均具备相应资质证书，且项目经理具有丰富的类似项目管理经验，技术负责人具备高级技术职称，其他人员工作年限长、工作经验丰富，组织机构设置科学、规范、合理，职责分工明确，完全满足工程施工要求的得 8 - 10 分； 拟派人员基本齐全，部分人员资质证书或工作经验稍有欠缺，但组织机构设置基本合理，能够满足工程施工要求的得 4 - 7 分； 拟派人员不齐全，或关键岗位人员资质、经验明显不足，组织机构设置不合理，无法满足工程施工要求的得 0 - 3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针对本项目内容提出适用于本项目的设备配备及劳动力投入计划,包括①施工机械配备方案；②检测设备投入计划；③劳动力投入计划。 施工机械配备方案合理，机械种类、数量满足施工需求，且机械性能良好；检测设备投入计划完善，能够满足工程质量检测要求；劳动力投入计划科学，各工种人员数量、技能水平与施工进度相匹配。完全满足上述要求的得 8 - 10 分； 方案基本合理，部分机械或设备配备、劳动力投入计划存在一定不足，但基本能够满足施工需求的得 4 - 7 分； 方案存在较多问题，机械、设备配备不足或不合理，劳动力投入计划与施工进度不匹配，无法保证项目顺利实施的得 0 - 3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其他技术方案.docx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针对本项目内容提出适用于本项目的项目完工后的维修服务及保修承诺。 承诺内容详细、具体，包括维修服务范围、响应时间、维修质量保证等方面，且承诺的服务标准高于招标文件要求的得 8 - 10 分； 承诺内容基本满足招标文件要求，但在部分方面不够详细或具体的得 4 - 7 分； 承诺内容简单、笼统，缺乏针对性和可操作性，无法保证项目完工后的维修服务及保修质量的得 0 - 3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其他技术方案.docx</w:t>
            </w:r>
          </w:p>
        </w:tc>
      </w:tr>
      <w:tr>
        <w:tc>
          <w:tcPr>
            <w:tcW w:type="dxa" w:w="831"/>
            <w:vMerge/>
          </w:tcPr>
          <w:p/>
        </w:tc>
        <w:tc>
          <w:tcPr>
            <w:tcW w:type="dxa" w:w="1661"/>
          </w:tcPr>
          <w:p>
            <w:pPr>
              <w:pStyle w:val="null3"/>
            </w:pPr>
            <w:r>
              <w:rPr>
                <w:rFonts w:ascii="仿宋_GB2312" w:hAnsi="仿宋_GB2312" w:cs="仿宋_GB2312" w:eastAsia="仿宋_GB2312"/>
              </w:rPr>
              <w:t>类似工程业绩</w:t>
            </w:r>
          </w:p>
        </w:tc>
        <w:tc>
          <w:tcPr>
            <w:tcW w:type="dxa" w:w="2492"/>
          </w:tcPr>
          <w:p>
            <w:pPr>
              <w:pStyle w:val="null3"/>
            </w:pPr>
            <w:r>
              <w:rPr>
                <w:rFonts w:ascii="仿宋_GB2312" w:hAnsi="仿宋_GB2312" w:cs="仿宋_GB2312" w:eastAsia="仿宋_GB2312"/>
              </w:rPr>
              <w:t>供应商提供 2022 年 5月1日至今类似项目业绩，须提供合同或中标（成交）通知书作为业绩证明，每提供一份业绩加 2 分，共 10 分。（以合同签订日期为准或以成交（中标）通知书发出时间为准） 注：在响应文件中须附合同或（成交）中标通知书的清晰复印件，弄虚作假者，取消其投标资格。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其他技术方案.docx</w:t>
            </w:r>
          </w:p>
        </w:tc>
      </w:tr>
      <w:tr>
        <w:tc>
          <w:tcPr>
            <w:tcW w:type="dxa" w:w="831"/>
            <w:vMerge/>
          </w:tcP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价格分采用低价优先法计算，即满足磋商文件要求且磋商报价最低的磋商报价为评审基准价，其价格分为满分。其他供应商的磋商报价统一按照下列公式计算：磋商报价得分=（磋商基准价/最后磋商报价）×价格权值×100 注：磋商小组三分之二以上成员认为某磋商报价有低于成本价嫌疑的，涉嫌不正当竞争的，为无效报价。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详见附件：资格要求内容.docx</w:t>
      </w:r>
    </w:p>
    <w:p>
      <w:pPr>
        <w:pStyle w:val="null3"/>
        <w:ind w:firstLine="960"/>
      </w:pPr>
      <w:r>
        <w:rPr>
          <w:rFonts w:ascii="仿宋_GB2312" w:hAnsi="仿宋_GB2312" w:cs="仿宋_GB2312" w:eastAsia="仿宋_GB2312"/>
        </w:rPr>
        <w:t>详见附件：其他技术方案.docx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