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版本号：YC25101013(CGO)20250619001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超高端X射线体层摄影设备（超高端CT）采购项目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YC25101013(CGO)</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超高端X射线体层摄影设备（超高端CT）采购项目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YC25101013(CGO)</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超高端X射线体层摄影设备（超高端CT）采购项目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陕西省中医医院超高端X射线体层摄影设备（超高端CT）采购项目等，具体内容详见采购文件。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格要求：投标人为制造厂家的应出具医疗器械生产许可证（提供的设备须在其生产范围内）和所投设备医疗器械注册证；投标人为经销商的应出具医疗器械经营许可证或《医疗器械经营备案凭证》（提供的设备须在其经营范围内）和所投产品《医疗器械注册证》</w:t>
      </w:r>
    </w:p>
    <w:p>
      <w:pPr>
        <w:pStyle w:val="null3"/>
      </w:pPr>
      <w:r>
        <w:rPr>
          <w:rFonts w:ascii="仿宋_GB2312" w:hAnsi="仿宋_GB2312" w:cs="仿宋_GB2312" w:eastAsia="仿宋_GB2312"/>
        </w:rPr>
        <w:t>2、投标人资格要求：投标保证金缴纳凭证</w:t>
      </w:r>
    </w:p>
    <w:p>
      <w:pPr>
        <w:pStyle w:val="null3"/>
      </w:pPr>
      <w:r>
        <w:rPr>
          <w:rFonts w:ascii="仿宋_GB2312" w:hAnsi="仿宋_GB2312" w:cs="仿宋_GB2312" w:eastAsia="仿宋_GB2312"/>
        </w:rPr>
        <w:t>3、投标人信用要求：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19929058987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开户名称：亿诚建设项目管理有限公司</w:t>
            </w:r>
          </w:p>
          <w:p>
            <w:pPr>
              <w:pStyle w:val="null3"/>
            </w:pPr>
            <w:r>
              <w:rPr>
                <w:rFonts w:ascii="仿宋_GB2312" w:hAnsi="仿宋_GB2312" w:cs="仿宋_GB2312" w:eastAsia="仿宋_GB2312"/>
              </w:rPr>
              <w:t>开户银行：平安银行西安含光路支行</w:t>
            </w:r>
          </w:p>
          <w:p>
            <w:pPr>
              <w:pStyle w:val="null3"/>
            </w:pPr>
            <w:r>
              <w:rPr>
                <w:rFonts w:ascii="仿宋_GB2312" w:hAnsi="仿宋_GB2312" w:cs="仿宋_GB2312" w:eastAsia="仿宋_GB2312"/>
              </w:rPr>
              <w:t>银行账号：30205199004494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验收标准按招标文件及国家，行业相关规定执行，以合同、招标文件及投标文件、澄清及国家相应的标准、规范等为依据。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联系人：吴东</w:t>
      </w:r>
    </w:p>
    <w:p>
      <w:pPr>
        <w:pStyle w:val="null3"/>
      </w:pPr>
      <w:r>
        <w:rPr>
          <w:rFonts w:ascii="仿宋_GB2312" w:hAnsi="仿宋_GB2312" w:cs="仿宋_GB2312" w:eastAsia="仿宋_GB2312"/>
        </w:rPr>
        <w:t>联系电话：19929058987</w:t>
      </w:r>
    </w:p>
    <w:p>
      <w:pPr>
        <w:pStyle w:val="null3"/>
      </w:pPr>
      <w:r>
        <w:rPr>
          <w:rFonts w:ascii="仿宋_GB2312" w:hAnsi="仿宋_GB2312" w:cs="仿宋_GB2312" w:eastAsia="仿宋_GB2312"/>
        </w:rPr>
        <w:t>地址：陕西省西安市雁塔区:陕西省西安市高新区丈八五路高科尚都ONE尚城A座10F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陕西省中医医院超高端X射线体层摄影设备（超高端CT）采购项目，具体内容详见采购文件。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22,000,000.00</w:t>
      </w:r>
    </w:p>
    <w:p>
      <w:pPr>
        <w:pStyle w:val="null3"/>
      </w:pPr>
      <w:r>
        <w:rPr>
          <w:rFonts w:ascii="仿宋_GB2312" w:hAnsi="仿宋_GB2312" w:cs="仿宋_GB2312" w:eastAsia="仿宋_GB2312"/>
        </w:rPr>
        <w:t>采购包最高限价（元）: 19,000,000.00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超高端X射线体层摄影设备（超高端CT）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标的名称：超高端X射线体层摄影设备（超高端CT）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ind w:firstLine="420"/>
              <w:jc w:val="left"/>
            </w:pPr>
            <w:r>
              <w:rPr>
                <w:rFonts w:ascii="仿宋_GB2312" w:hAnsi="仿宋_GB2312" w:cs="仿宋_GB2312" w:eastAsia="仿宋_GB2312"/>
                <w:sz w:val="21"/>
              </w:rPr>
              <w:t>供应商报价不允许超过标的金额</w:t>
            </w:r>
          </w:p>
          <w:p>
            <w:pPr>
              <w:pStyle w:val="null3"/>
              <w:ind w:firstLine="420"/>
              <w:jc w:val="left"/>
            </w:pPr>
            <w:r>
              <w:rPr>
                <w:rFonts w:ascii="仿宋_GB2312" w:hAnsi="仿宋_GB2312" w:cs="仿宋_GB2312" w:eastAsia="仿宋_GB2312"/>
                <w:sz w:val="21"/>
              </w:rPr>
              <w:t>（招单价的）供应商报价不允许超过标的单价</w:t>
            </w:r>
          </w:p>
          <w:p>
            <w:pPr>
              <w:pStyle w:val="null3"/>
              <w:ind w:firstLine="420"/>
              <w:jc w:val="left"/>
            </w:pPr>
            <w:r>
              <w:rPr>
                <w:rFonts w:ascii="仿宋_GB2312" w:hAnsi="仿宋_GB2312" w:cs="仿宋_GB2312" w:eastAsia="仿宋_GB2312"/>
                <w:sz w:val="21"/>
              </w:rPr>
              <w:t>标的名称：陕西省中医医院超高端</w:t>
            </w:r>
            <w:r>
              <w:rPr>
                <w:rFonts w:ascii="仿宋_GB2312" w:hAnsi="仿宋_GB2312" w:cs="仿宋_GB2312" w:eastAsia="仿宋_GB2312"/>
                <w:sz w:val="21"/>
              </w:rPr>
              <w:t>X射线体层摄影设备（超高端CT）采购项目</w:t>
            </w:r>
          </w:p>
          <w:p>
            <w:pPr>
              <w:pStyle w:val="null3"/>
              <w:jc w:val="both"/>
            </w:pPr>
            <w:r>
              <w:rPr>
                <w:rFonts w:ascii="仿宋_GB2312" w:hAnsi="仿宋_GB2312" w:cs="仿宋_GB2312" w:eastAsia="仿宋_GB2312"/>
                <w:sz w:val="24"/>
              </w:rPr>
              <w:t xml:space="preserve">   1.</w:t>
            </w:r>
            <w:r>
              <w:rPr>
                <w:rFonts w:ascii="仿宋_GB2312" w:hAnsi="仿宋_GB2312" w:cs="仿宋_GB2312" w:eastAsia="仿宋_GB2312"/>
                <w:sz w:val="24"/>
              </w:rPr>
              <w:t>提供</w:t>
            </w:r>
            <w:r>
              <w:rPr>
                <w:rFonts w:ascii="仿宋_GB2312" w:hAnsi="仿宋_GB2312" w:cs="仿宋_GB2312" w:eastAsia="仿宋_GB2312"/>
                <w:sz w:val="24"/>
              </w:rPr>
              <w:t>设备相关资质</w:t>
            </w:r>
            <w:r>
              <w:rPr>
                <w:rFonts w:ascii="仿宋_GB2312" w:hAnsi="仿宋_GB2312" w:cs="仿宋_GB2312" w:eastAsia="仿宋_GB2312"/>
                <w:sz w:val="24"/>
              </w:rPr>
              <w:t>，</w:t>
            </w:r>
            <w:r>
              <w:rPr>
                <w:rFonts w:ascii="仿宋_GB2312" w:hAnsi="仿宋_GB2312" w:cs="仿宋_GB2312" w:eastAsia="仿宋_GB2312"/>
                <w:sz w:val="24"/>
              </w:rPr>
              <w:t>NMPA证书</w:t>
            </w:r>
            <w:r>
              <w:rPr>
                <w:rFonts w:ascii="仿宋_GB2312" w:hAnsi="仿宋_GB2312" w:cs="仿宋_GB2312" w:eastAsia="仿宋_GB2312"/>
                <w:sz w:val="24"/>
              </w:rPr>
              <w:t>等</w:t>
            </w:r>
            <w:r>
              <w:rPr>
                <w:rFonts w:ascii="仿宋_GB2312" w:hAnsi="仿宋_GB2312" w:cs="仿宋_GB2312" w:eastAsia="仿宋_GB2312"/>
                <w:sz w:val="21"/>
              </w:rPr>
              <w:t xml:space="preserve">  </w:t>
            </w:r>
          </w:p>
          <w:tbl>
            <w:tblPr>
              <w:tblInd w:type="dxa" w:w="45"/>
              <w:tblBorders>
                <w:top w:val="none" w:color="000000" w:sz="4"/>
                <w:left w:val="none" w:color="000000" w:sz="4"/>
                <w:bottom w:val="none" w:color="000000" w:sz="4"/>
                <w:right w:val="none" w:color="000000" w:sz="4"/>
                <w:insideH w:val="none"/>
                <w:insideV w:val="none"/>
              </w:tblBorders>
            </w:tblPr>
            <w:tblGrid>
              <w:gridCol w:w="358"/>
              <w:gridCol w:w="1249"/>
              <w:gridCol w:w="946"/>
            </w:tblGrid>
            <w:tr>
              <w:tc>
                <w:tcPr>
                  <w:tcW w:type="dxa" w:w="35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一</w:t>
                  </w:r>
                </w:p>
              </w:tc>
              <w:tc>
                <w:tcPr>
                  <w:tcW w:type="dxa" w:w="124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总体要求</w:t>
                  </w:r>
                </w:p>
              </w:tc>
              <w:tc>
                <w:tcPr>
                  <w:tcW w:type="dxa" w:w="94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超高端</w:t>
                  </w:r>
                  <w:r>
                    <w:rPr>
                      <w:rFonts w:ascii="仿宋_GB2312" w:hAnsi="仿宋_GB2312" w:cs="仿宋_GB2312" w:eastAsia="仿宋_GB2312"/>
                      <w:sz w:val="21"/>
                    </w:rPr>
                    <w:t>CT,探测器排数≥256排</w:t>
                  </w:r>
                  <w:r>
                    <w:rPr>
                      <w:rFonts w:ascii="仿宋_GB2312" w:hAnsi="仿宋_GB2312" w:cs="仿宋_GB2312" w:eastAsia="仿宋_GB2312"/>
                      <w:sz w:val="21"/>
                    </w:rPr>
                    <w:t>，</w:t>
                  </w:r>
                  <w:r>
                    <w:rPr>
                      <w:rFonts w:ascii="仿宋_GB2312" w:hAnsi="仿宋_GB2312" w:cs="仿宋_GB2312" w:eastAsia="仿宋_GB2312"/>
                      <w:sz w:val="21"/>
                    </w:rPr>
                    <w:t>或双球管双探测器系统且探测器排数</w:t>
                  </w:r>
                  <w:r>
                    <w:rPr>
                      <w:rFonts w:ascii="仿宋_GB2312" w:hAnsi="仿宋_GB2312" w:cs="仿宋_GB2312" w:eastAsia="仿宋_GB2312"/>
                      <w:sz w:val="21"/>
                    </w:rPr>
                    <w:t>≥192排</w:t>
                  </w:r>
                  <w:r>
                    <w:rPr>
                      <w:rFonts w:ascii="仿宋_GB2312" w:hAnsi="仿宋_GB2312" w:cs="仿宋_GB2312" w:eastAsia="仿宋_GB2312"/>
                      <w:sz w:val="21"/>
                    </w:rPr>
                    <w:t>已获得</w:t>
                  </w:r>
                  <w:r>
                    <w:rPr>
                      <w:rFonts w:ascii="仿宋_GB2312" w:hAnsi="仿宋_GB2312" w:cs="仿宋_GB2312" w:eastAsia="仿宋_GB2312"/>
                      <w:sz w:val="21"/>
                    </w:rPr>
                    <w:t>FDA,及NMPA认证</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二</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设备技术规格</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机架系统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驱动方式：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磁悬浮线性马达直接驱动</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滑环类型：</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低压滑环</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机架倾角：</w:t>
                  </w:r>
                  <w:r>
                    <w:rPr>
                      <w:rFonts w:ascii="仿宋_GB2312" w:hAnsi="仿宋_GB2312" w:cs="仿宋_GB2312" w:eastAsia="仿宋_GB2312"/>
                      <w:sz w:val="21"/>
                    </w:rPr>
                    <w:t>（</w:t>
                  </w:r>
                  <w:r>
                    <w:rPr>
                      <w:rFonts w:ascii="仿宋_GB2312" w:hAnsi="仿宋_GB2312" w:cs="仿宋_GB2312" w:eastAsia="仿宋_GB2312"/>
                      <w:sz w:val="21"/>
                    </w:rPr>
                    <w:t>物理倾斜</w:t>
                  </w:r>
                  <w:r>
                    <w:rPr>
                      <w:rFonts w:ascii="仿宋_GB2312" w:hAnsi="仿宋_GB2312" w:cs="仿宋_GB2312" w:eastAsia="仿宋_GB2312"/>
                      <w:sz w:val="21"/>
                    </w:rPr>
                    <w:t>）</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≥±30度</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激光定位系统：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智能定位功能</w:t>
                  </w:r>
                  <w:r>
                    <w:rPr>
                      <w:rFonts w:ascii="仿宋_GB2312" w:hAnsi="仿宋_GB2312" w:cs="仿宋_GB2312" w:eastAsia="仿宋_GB2312"/>
                      <w:sz w:val="21"/>
                    </w:rPr>
                    <w:t>（</w:t>
                  </w:r>
                  <w:r>
                    <w:rPr>
                      <w:rFonts w:ascii="仿宋_GB2312" w:hAnsi="仿宋_GB2312" w:cs="仿宋_GB2312" w:eastAsia="仿宋_GB2312"/>
                      <w:sz w:val="21"/>
                    </w:rPr>
                    <w:t>各厂家自述</w:t>
                  </w:r>
                  <w:r>
                    <w:rPr>
                      <w:rFonts w:ascii="仿宋_GB2312" w:hAnsi="仿宋_GB2312" w:cs="仿宋_GB2312" w:eastAsia="仿宋_GB2312"/>
                      <w:sz w:val="21"/>
                    </w:rPr>
                    <w:t>）</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机架控制面板：</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≥2个，具备液晶触控功能</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一体化心电显示系统：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冷却方式：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风冷散热，无需水冷辅助散热</w:t>
                  </w:r>
                  <w:r>
                    <w:rPr>
                      <w:rFonts w:ascii="仿宋_GB2312" w:hAnsi="仿宋_GB2312" w:cs="仿宋_GB2312" w:eastAsia="仿宋_GB2312"/>
                      <w:sz w:val="21"/>
                    </w:rPr>
                    <w:t>（</w:t>
                  </w:r>
                  <w:r>
                    <w:rPr>
                      <w:rFonts w:ascii="仿宋_GB2312" w:hAnsi="仿宋_GB2312" w:cs="仿宋_GB2312" w:eastAsia="仿宋_GB2312"/>
                      <w:sz w:val="21"/>
                    </w:rPr>
                    <w:t>如水冷散热，需提供两套水冷散热系统</w:t>
                  </w:r>
                  <w:r>
                    <w:rPr>
                      <w:rFonts w:ascii="仿宋_GB2312" w:hAnsi="仿宋_GB2312" w:cs="仿宋_GB2312" w:eastAsia="仿宋_GB2312"/>
                      <w:sz w:val="21"/>
                    </w:rPr>
                    <w:t>）</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扫描床</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2.2.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扫描床垂直升降范围：</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≥50cm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2.4.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扫描床最大扫描范围：</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≥200cm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2.5.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扫描床定位精度（最大床</w:t>
                  </w:r>
                  <w:r>
                    <w:rPr>
                      <w:rFonts w:ascii="仿宋_GB2312" w:hAnsi="仿宋_GB2312" w:cs="仿宋_GB2312" w:eastAsia="仿宋_GB2312"/>
                      <w:sz w:val="21"/>
                    </w:rPr>
                    <w:t>承重下</w:t>
                  </w:r>
                  <w:r>
                    <w:rPr>
                      <w:rFonts w:ascii="仿宋_GB2312" w:hAnsi="仿宋_GB2312" w:cs="仿宋_GB2312" w:eastAsia="仿宋_GB2312"/>
                      <w:sz w:val="21"/>
                    </w:rPr>
                    <w:t>）：</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≤±0.25mm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2.6.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床面水平移动速度：</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≥200mm/s</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2.7.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床面垂直移动速度：</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mm/s</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探测器</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3.1.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探测器类型：</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需提供最新型探测器系统</w:t>
                  </w:r>
                  <w:r>
                    <w:rPr>
                      <w:rFonts w:ascii="仿宋_GB2312" w:hAnsi="仿宋_GB2312" w:cs="仿宋_GB2312" w:eastAsia="仿宋_GB2312"/>
                      <w:sz w:val="21"/>
                    </w:rPr>
                    <w:t>，</w:t>
                  </w:r>
                  <w:r>
                    <w:rPr>
                      <w:rFonts w:ascii="仿宋_GB2312" w:hAnsi="仿宋_GB2312" w:cs="仿宋_GB2312" w:eastAsia="仿宋_GB2312"/>
                      <w:sz w:val="21"/>
                    </w:rPr>
                    <w:t>例如</w:t>
                  </w:r>
                  <w:r>
                    <w:rPr>
                      <w:rFonts w:ascii="仿宋_GB2312" w:hAnsi="仿宋_GB2312" w:cs="仿宋_GB2312" w:eastAsia="仿宋_GB2312"/>
                      <w:sz w:val="21"/>
                    </w:rPr>
                    <w:t>西门子</w:t>
                  </w:r>
                  <w:r>
                    <w:rPr>
                      <w:rFonts w:ascii="仿宋_GB2312" w:hAnsi="仿宋_GB2312" w:cs="仿宋_GB2312" w:eastAsia="仿宋_GB2312"/>
                      <w:sz w:val="21"/>
                    </w:rPr>
                    <w:t>Stellar infinity光子探测器;GE提供Gemstone探测器，佳能提供pureVISION镨黄金探测器，PHILIPS提供三明治双层能谱探测器</w:t>
                  </w:r>
                  <w:r>
                    <w:rPr>
                      <w:rFonts w:ascii="仿宋_GB2312" w:hAnsi="仿宋_GB2312" w:cs="仿宋_GB2312" w:eastAsia="仿宋_GB2312"/>
                      <w:sz w:val="21"/>
                    </w:rPr>
                    <w:t>，</w:t>
                  </w:r>
                  <w:r>
                    <w:rPr>
                      <w:rFonts w:ascii="仿宋_GB2312" w:hAnsi="仿宋_GB2312" w:cs="仿宋_GB2312" w:eastAsia="仿宋_GB2312"/>
                      <w:sz w:val="21"/>
                    </w:rPr>
                    <w:t>联影提供时空探测器，</w:t>
                  </w:r>
                  <w:r>
                    <w:rPr>
                      <w:rFonts w:ascii="仿宋_GB2312" w:hAnsi="仿宋_GB2312" w:cs="仿宋_GB2312" w:eastAsia="仿宋_GB2312"/>
                      <w:sz w:val="21"/>
                    </w:rPr>
                    <w:t>其他厂家提供相对应最新型探测器技术</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3.2.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探测器物理排数：</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256</w:t>
                  </w:r>
                  <w:r>
                    <w:rPr>
                      <w:rFonts w:ascii="仿宋_GB2312" w:hAnsi="仿宋_GB2312" w:cs="仿宋_GB2312" w:eastAsia="仿宋_GB2312"/>
                      <w:sz w:val="21"/>
                    </w:rPr>
                    <w:t>排</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3.6.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每排探测器采样率：</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≥2900次/秒</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3.7.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探测器</w:t>
                  </w:r>
                  <w:r>
                    <w:rPr>
                      <w:rFonts w:ascii="仿宋_GB2312" w:hAnsi="仿宋_GB2312" w:cs="仿宋_GB2312" w:eastAsia="仿宋_GB2312"/>
                      <w:sz w:val="21"/>
                    </w:rPr>
                    <w:t>Z轴方向采集总宽度：</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≥160mm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X线系统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4.1.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高压发生器功率：</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≥100kW</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4.2.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射线滤过优化系统：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具备，可过滤无法成像的超低能射线及均整射线能量</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4.3.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球管热容量：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阳极实际热容量</w:t>
                  </w:r>
                  <w:r>
                    <w:rPr>
                      <w:rFonts w:ascii="仿宋_GB2312" w:hAnsi="仿宋_GB2312" w:cs="仿宋_GB2312" w:eastAsia="仿宋_GB2312"/>
                      <w:sz w:val="21"/>
                    </w:rPr>
                    <w:t>≥7.5MHu</w:t>
                  </w:r>
                  <w:r>
                    <w:rPr>
                      <w:rFonts w:ascii="仿宋_GB2312" w:hAnsi="仿宋_GB2312" w:cs="仿宋_GB2312" w:eastAsia="仿宋_GB2312"/>
                      <w:sz w:val="21"/>
                    </w:rPr>
                    <w:t>或等效热容量</w:t>
                  </w:r>
                  <w:r>
                    <w:rPr>
                      <w:rFonts w:ascii="仿宋_GB2312" w:hAnsi="仿宋_GB2312" w:cs="仿宋_GB2312" w:eastAsia="仿宋_GB2312"/>
                      <w:sz w:val="21"/>
                    </w:rPr>
                    <w:t>≥</w:t>
                  </w:r>
                  <w:r>
                    <w:rPr>
                      <w:rFonts w:ascii="仿宋_GB2312" w:hAnsi="仿宋_GB2312" w:cs="仿宋_GB2312" w:eastAsia="仿宋_GB2312"/>
                      <w:sz w:val="21"/>
                    </w:rPr>
                    <w:t>30MHu</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4.4.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球管阳极散热率：</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≥1300KHu/min或≥15KW</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4.5.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球管电压最大输出：</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40</w:t>
                  </w:r>
                  <w:r>
                    <w:rPr>
                      <w:rFonts w:ascii="仿宋_GB2312" w:hAnsi="仿宋_GB2312" w:cs="仿宋_GB2312" w:eastAsia="仿宋_GB2312"/>
                      <w:sz w:val="21"/>
                    </w:rPr>
                    <w:t>kV</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4.6.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球管电压最小输出：</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0kV</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4.7.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球管电压备选档数：</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档</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扫描和图像系统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360˚扫描最短时间：</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≤0.275秒/圈</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大范围快速螺旋扫描功能：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螺旋扫描最大扫描速度：</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≤0.275秒/360˚</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最薄扫描层厚</w:t>
                  </w:r>
                  <w:r>
                    <w:rPr>
                      <w:rFonts w:ascii="仿宋_GB2312" w:hAnsi="仿宋_GB2312" w:cs="仿宋_GB2312" w:eastAsia="仿宋_GB2312"/>
                      <w:sz w:val="21"/>
                    </w:rPr>
                    <w:t>(非重建层厚)：</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≤0.</w:t>
                  </w:r>
                  <w:r>
                    <w:rPr>
                      <w:rFonts w:ascii="仿宋_GB2312" w:hAnsi="仿宋_GB2312" w:cs="仿宋_GB2312" w:eastAsia="仿宋_GB2312"/>
                      <w:sz w:val="21"/>
                    </w:rPr>
                    <w:t>6</w:t>
                  </w:r>
                  <w:r>
                    <w:rPr>
                      <w:rFonts w:ascii="仿宋_GB2312" w:hAnsi="仿宋_GB2312" w:cs="仿宋_GB2312" w:eastAsia="仿宋_GB2312"/>
                      <w:sz w:val="21"/>
                    </w:rPr>
                    <w:t>mm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64排以上螺旋扫描探测器准直种类：</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≥3种，具体说明</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螺旋扫描最大可扫描范围：</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≥1950mm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定位像最大扫描长度：</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≥1950mm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螺旋扫描最大螺距因子：</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≥1.5</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5.10.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最大扫描视野范围：</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≥50cm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容积扫描模式：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5.13.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容积扫描探测器准直宽度种类：</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种，具体说明</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5.14.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动态容积扫描功能：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5.16.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单个扫描范围前后及左右方向，双定位像确定功能：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5.17.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扫描剂量实时显示功能：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5.18.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自动</w:t>
                  </w:r>
                  <w:r>
                    <w:rPr>
                      <w:rFonts w:ascii="仿宋_GB2312" w:hAnsi="仿宋_GB2312" w:cs="仿宋_GB2312" w:eastAsia="仿宋_GB2312"/>
                      <w:sz w:val="21"/>
                    </w:rPr>
                    <w:t>KV调制技术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5.19.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器官特异性曝光调制技术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5.20.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自适应动态准直器系统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5.24.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低密度分辨率：</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≤3mm@0.3%，10.0mGy</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临床应用软件和功能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多平面重建成像（</w:t>
                  </w:r>
                  <w:r>
                    <w:rPr>
                      <w:rFonts w:ascii="仿宋_GB2312" w:hAnsi="仿宋_GB2312" w:cs="仿宋_GB2312" w:eastAsia="仿宋_GB2312"/>
                      <w:sz w:val="21"/>
                    </w:rPr>
                    <w:t>MPR）：</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自动多平面成像功能：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曲面重建功能：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射线投影显示功能：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堆积成像显示功能：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骨碎片去除功能：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CT血管造影软件：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最大密度投影成像（</w:t>
                  </w:r>
                  <w:r>
                    <w:rPr>
                      <w:rFonts w:ascii="仿宋_GB2312" w:hAnsi="仿宋_GB2312" w:cs="仿宋_GB2312" w:eastAsia="仿宋_GB2312"/>
                      <w:sz w:val="21"/>
                    </w:rPr>
                    <w:t>Max-IP）：</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最小密度投影成像（</w:t>
                  </w:r>
                  <w:r>
                    <w:rPr>
                      <w:rFonts w:ascii="仿宋_GB2312" w:hAnsi="仿宋_GB2312" w:cs="仿宋_GB2312" w:eastAsia="仿宋_GB2312"/>
                      <w:sz w:val="21"/>
                    </w:rPr>
                    <w:t>Min-IP）：</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多平面容积重建成像（</w:t>
                  </w:r>
                  <w:r>
                    <w:rPr>
                      <w:rFonts w:ascii="仿宋_GB2312" w:hAnsi="仿宋_GB2312" w:cs="仿宋_GB2312" w:eastAsia="仿宋_GB2312"/>
                      <w:sz w:val="21"/>
                    </w:rPr>
                    <w:t>MPVR）：</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三维容积重建成像</w:t>
                  </w:r>
                  <w:r>
                    <w:rPr>
                      <w:rFonts w:ascii="仿宋_GB2312" w:hAnsi="仿宋_GB2312" w:cs="仿宋_GB2312" w:eastAsia="仿宋_GB2312"/>
                      <w:sz w:val="21"/>
                    </w:rPr>
                    <w:t>(VRT) ：</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表面三维成像（</w:t>
                  </w:r>
                  <w:r>
                    <w:rPr>
                      <w:rFonts w:ascii="仿宋_GB2312" w:hAnsi="仿宋_GB2312" w:cs="仿宋_GB2312" w:eastAsia="仿宋_GB2312"/>
                      <w:sz w:val="21"/>
                    </w:rPr>
                    <w:t>SSD）：</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透明化显示技术或</w:t>
                  </w:r>
                  <w:r>
                    <w:rPr>
                      <w:rFonts w:ascii="仿宋_GB2312" w:hAnsi="仿宋_GB2312" w:cs="仿宋_GB2312" w:eastAsia="仿宋_GB2312"/>
                      <w:sz w:val="21"/>
                    </w:rPr>
                    <w:t>4D技术：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自动去骨软件：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模拟手术刀技术：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器官融合、拆分技术：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三维测量软件：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具备，能实现距离、角度、体积、面积等测量</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三维处理软件：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具备，能实现缩放、层次、层面、背景、亮度、色彩等灵活处理和调整</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6.19.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金属伪影抑制技术：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运动伪影消除技术：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后颅窝伪影校正软件：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肩臂、骨盆条状伪影消除技术：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螺旋扫描降噪软件：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断层扫描降噪软件：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图像优化软件：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实时智能剂量调控软件：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全器官动态容积重建技术：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能自动重建动态容积扫描数据包，提供如血流、呼吸运动、胃肠蠕动、关节运动等器官</w:t>
                  </w:r>
                  <w:r>
                    <w:rPr>
                      <w:rFonts w:ascii="仿宋_GB2312" w:hAnsi="仿宋_GB2312" w:cs="仿宋_GB2312" w:eastAsia="仿宋_GB2312"/>
                      <w:sz w:val="21"/>
                    </w:rPr>
                    <w:t>4D动态功能影像，并可以avi格式保存</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电影浏览软件：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6.29.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同步多期相电影浏览功能：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自动化工具包：</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提供，具备自动存储，自动打印，自动拍片，自动传输，自动语音</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一次注药自动触发造影跟踪软件：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适用全身任何血管</w:t>
                  </w:r>
                  <w:r>
                    <w:rPr>
                      <w:rFonts w:ascii="仿宋_GB2312" w:hAnsi="仿宋_GB2312" w:cs="仿宋_GB2312" w:eastAsia="仿宋_GB2312"/>
                      <w:sz w:val="21"/>
                    </w:rPr>
                    <w:t>CT造影检查（包括冠脉造影成像）：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监测扫描常用剂量：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≤10mA</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6.31.3.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为保证检查准确性，启动正式增强扫描方式：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具备自动和手动</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专用去金属伪影软件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例如</w:t>
                  </w:r>
                  <w:r>
                    <w:rPr>
                      <w:rFonts w:ascii="仿宋_GB2312" w:hAnsi="仿宋_GB2312" w:cs="仿宋_GB2312" w:eastAsia="仿宋_GB2312"/>
                      <w:sz w:val="21"/>
                    </w:rPr>
                    <w:t>GE需提供MAR，飞利浦需提供O-MAR，西门子需i-MAR,佳能需提供SEMAR，</w:t>
                  </w:r>
                  <w:r>
                    <w:rPr>
                      <w:rFonts w:ascii="仿宋_GB2312" w:hAnsi="仿宋_GB2312" w:cs="仿宋_GB2312" w:eastAsia="仿宋_GB2312"/>
                      <w:sz w:val="21"/>
                    </w:rPr>
                    <w:t>联影需提供</w:t>
                  </w:r>
                  <w:r>
                    <w:rPr>
                      <w:rFonts w:ascii="仿宋_GB2312" w:hAnsi="仿宋_GB2312" w:cs="仿宋_GB2312" w:eastAsia="仿宋_GB2312"/>
                      <w:sz w:val="21"/>
                    </w:rPr>
                    <w:t>MAC，其他厂家提供同级别技术</w:t>
                  </w:r>
                  <w:r>
                    <w:rPr>
                      <w:rFonts w:ascii="仿宋_GB2312" w:hAnsi="仿宋_GB2312" w:cs="仿宋_GB2312" w:eastAsia="仿宋_GB2312"/>
                      <w:sz w:val="21"/>
                    </w:rPr>
                    <w:t>能校正多种金属产生的伪影，并能将此技术跟灌注成像相结合，避免金属伪影对灌注分析的影响</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肺部成像优化软件：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6.33.1.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肺纹理增强软件：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6.33.2.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呼吸运动伪影校正功能：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6.33.3.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肺低剂量普查软件：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6.33.4.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肺成像最低毫安量：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≤3mAs</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6.33.5.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肺混合重建功能：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具备，通过自适应函数，一次重建即可进行肺窗和纵隔窗显示</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高级血管自动分析软件：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提供，可自动探测血管，自动评价和测量分析血管功能，分析数据含概血管长度、</w:t>
                  </w:r>
                  <w:r>
                    <w:rPr>
                      <w:rFonts w:ascii="仿宋_GB2312" w:hAnsi="仿宋_GB2312" w:cs="仿宋_GB2312" w:eastAsia="仿宋_GB2312"/>
                      <w:sz w:val="21"/>
                    </w:rPr>
                    <w:t>管腔最大</w:t>
                  </w:r>
                  <w:r>
                    <w:rPr>
                      <w:rFonts w:ascii="仿宋_GB2312" w:hAnsi="仿宋_GB2312" w:cs="仿宋_GB2312" w:eastAsia="仿宋_GB2312"/>
                      <w:sz w:val="21"/>
                    </w:rPr>
                    <w:t>/最小直径 、管腔最大/最小截面面积、血管最大曲率、官腔截面角度测量等</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6.34.1.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血管拉直功能：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6.34.2.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血管内窥镜功能：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6.34.3.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血管斑块分析功能：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6.34.3.1.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血管量化分析功能：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，提供血管体积，管壁</w:t>
                  </w:r>
                  <w:r>
                    <w:rPr>
                      <w:rFonts w:ascii="仿宋_GB2312" w:hAnsi="仿宋_GB2312" w:cs="仿宋_GB2312" w:eastAsia="仿宋_GB2312"/>
                      <w:sz w:val="21"/>
                    </w:rPr>
                    <w:t>/腔比等数据</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6.34.3.2.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斑块性质分析功能：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，可识别脂质斑块，钙化斑块和混合斑块，并给出具体量化数据</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6.34.3.3.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血管重构分析：</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具备，可提供血管重构指数</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6.34.3.4.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分析报告：</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具备，可自动生成详细血管斑块分析报告</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肺辅助诊断软件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6.35.1.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肺小结节分析功能：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具备，自动测量肺小结节大小，并能将前后两次扫描结果对比分析，提供倍增数据</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6.35.2.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肺气道分析功能：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具备，可自动识别气道，能进行气道内窥镜</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CT结肠自动分析软件包：</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6.36.1.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结肠自动识别功能：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6.36.2.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结肠内窥镜成像功能：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具备，可进行仰、俯卧位对比</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6.36.3.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结肠平铺功能：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6.36.4.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结肠息肉分析功能：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具备，能自动测量息肉直径、体积，并进行息肉位置定位，提供分析报告</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心脏成像功能：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心脏最快全周扫描时间：</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≤0.275秒/圈</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心脏扫描每圈覆盖范围：</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≥160mm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心电门控扫描系统（含心脏门控装置）：</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病人呼吸自动训练技术：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心脏扫描参数自动平衡系统：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具备，所有扫描参数能自动匹配最佳</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一次心跳冠脉冻结技术：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全心智能运动伪影校正功能：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具备，可同时对冠脉树及心肌进行校正</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心脏多扇区重建技术：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具备，最大扇区数</w:t>
                  </w:r>
                  <w:r>
                    <w:rPr>
                      <w:rFonts w:ascii="仿宋_GB2312" w:hAnsi="仿宋_GB2312" w:cs="仿宋_GB2312" w:eastAsia="仿宋_GB2312"/>
                      <w:sz w:val="21"/>
                    </w:rPr>
                    <w:t>≥</w:t>
                  </w:r>
                  <w:r>
                    <w:rPr>
                      <w:rFonts w:ascii="仿宋_GB2312" w:hAnsi="仿宋_GB2312" w:cs="仿宋_GB2312" w:eastAsia="仿宋_GB2312"/>
                      <w:sz w:val="21"/>
                    </w:rPr>
                    <w:t>3</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前门控冠脉成像技术：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单次门控触发全心容积扫描功能：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心电门控扫描曝光剂量期相调控软件：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心电门控重建系统（有多扇区重建）：</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心电门控重建最佳期相自动选择功能：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轴面心脏图像最小时间分辨率：</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≤28毫秒</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心电监测系统：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提供，主控台能显示和保存心电图信息</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冠脉钙化定量分析软件：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具备，含自动生成评价报告</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心脏冠脉树自动提取功能：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心功能分析软件包：</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提供，能评价心腔射血分数</w:t>
                  </w:r>
                  <w:r>
                    <w:rPr>
                      <w:rFonts w:ascii="仿宋_GB2312" w:hAnsi="仿宋_GB2312" w:cs="仿宋_GB2312" w:eastAsia="仿宋_GB2312"/>
                      <w:sz w:val="21"/>
                    </w:rPr>
                    <w:t>EF、舒张末期容量EDV、收缩末期容量ESV、每搏射血量SV、射血指数SI、心输出量CO、心输入量CI、心肌质量MM、心脏指数MI、心脏容积MV等参数</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6.37.19.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冠脉拉直分析功能：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6.37.20.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冠脉斑块分析软件包：</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具备，可自动识别血管内斑块，并能对斑块成份进行分析，并给出分析测量数据</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6.37.20.1.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血管量化分析功能：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，提供血管体积，管壁</w:t>
                  </w:r>
                  <w:r>
                    <w:rPr>
                      <w:rFonts w:ascii="仿宋_GB2312" w:hAnsi="仿宋_GB2312" w:cs="仿宋_GB2312" w:eastAsia="仿宋_GB2312"/>
                      <w:sz w:val="21"/>
                    </w:rPr>
                    <w:t>/腔比等数据</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6.37.20.2.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斑块性质分析功能：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，可识别脂质斑块，钙化斑块和混合斑块，并给出各成份体积及占比等具体数据</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6.37.20.3.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血管重构分析：</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具备，可提供血管重构指数</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6.37.20.4.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分析报告：</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具备，可自动生成详细血管斑块分析报告</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6.37.21.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冠脉支架自动设计功能：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全身灌注成像功能：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不动床轴扫灌注扫描覆盖范围：</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≥160mm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灌注扫描模式：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不动床动态容积成像模式</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灌注分析数据层厚：</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≤0.</w:t>
                  </w:r>
                  <w:r>
                    <w:rPr>
                      <w:rFonts w:ascii="仿宋_GB2312" w:hAnsi="仿宋_GB2312" w:cs="仿宋_GB2312" w:eastAsia="仿宋_GB2312"/>
                      <w:sz w:val="21"/>
                    </w:rPr>
                    <w:t>6</w:t>
                  </w:r>
                  <w:r>
                    <w:rPr>
                      <w:rFonts w:ascii="仿宋_GB2312" w:hAnsi="仿宋_GB2312" w:cs="仿宋_GB2312" w:eastAsia="仿宋_GB2312"/>
                      <w:sz w:val="21"/>
                    </w:rPr>
                    <w:t>mm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3D灌注成像功能：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具备，可进行横断位，冠状位和矢状位灌注成像</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灌注成像部位要求：</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能满足脑、肝、肺、肾等部位灌注成像</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专用全器官容积灌注软件：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灌注分析算法</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针对不同器官血流动力学模型，提供最大斜率算法、去卷积算法和</w:t>
                  </w:r>
                  <w:r>
                    <w:rPr>
                      <w:rFonts w:ascii="仿宋_GB2312" w:hAnsi="仿宋_GB2312" w:cs="仿宋_GB2312" w:eastAsia="仿宋_GB2312"/>
                      <w:sz w:val="21"/>
                    </w:rPr>
                    <w:t>patlak算法等多种算法</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4D全自动智能对位功能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提供，排除呼吸、血管搏动等器官位移的影响，保证数据分析的准确性</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低剂量灌注数据采集</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提供，能复合低剂量迭代算法进行数据采集</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6.38.10.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肝脏灌注软件包</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具备，双血供灌注模型</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肺灌注软件包</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具备，双血供灌注模型</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肾灌注软件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6.38.13.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骨灌注软件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神经一站式成像软件包：</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具备，一次检查获得平片、</w:t>
                  </w:r>
                  <w:r>
                    <w:rPr>
                      <w:rFonts w:ascii="仿宋_GB2312" w:hAnsi="仿宋_GB2312" w:cs="仿宋_GB2312" w:eastAsia="仿宋_GB2312"/>
                      <w:sz w:val="21"/>
                    </w:rPr>
                    <w:t>CTA、CTV、CTP、CT DSA图像，实现脑卒中一站式检查。</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6.39.1.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一站式数据重建功能：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具备，一站式完成多期</w:t>
                  </w:r>
                  <w:r>
                    <w:rPr>
                      <w:rFonts w:ascii="仿宋_GB2312" w:hAnsi="仿宋_GB2312" w:cs="仿宋_GB2312" w:eastAsia="仿宋_GB2312"/>
                      <w:sz w:val="21"/>
                    </w:rPr>
                    <w:t>CTA，4D-DSA和灌注数据重建</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6.39.2.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纯全脑动脉成像功能：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具备，能进行纯动脉成像，无静脉影像干扰</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6.39.3.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纯全脑静脉成像功能：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具备，能进行纯静脉成像，无动脉影像干扰</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6.39.4.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4D-DSA成像功能：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具备，能进行全脑类</w:t>
                  </w:r>
                  <w:r>
                    <w:rPr>
                      <w:rFonts w:ascii="仿宋_GB2312" w:hAnsi="仿宋_GB2312" w:cs="仿宋_GB2312" w:eastAsia="仿宋_GB2312"/>
                      <w:sz w:val="21"/>
                    </w:rPr>
                    <w:t>DSA成像，反映全脑脑动静脉循环全过程，可评估脑侧枝循环，脑动静脉漏，动态数据可以avi格式保存</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6.39.5.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4D-脑灌注功能：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具备，提供全脑灌注分析，能进行横断位，冠状位及矢状位任意层面的分析</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血管内支架计划功能：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具备，可以根据血管测量的结果，自动匹配常用的血管内支架型号及规格</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能谱成像功能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能谱数据采集功能：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例如</w:t>
                  </w:r>
                  <w:r>
                    <w:rPr>
                      <w:rFonts w:ascii="仿宋_GB2312" w:hAnsi="仿宋_GB2312" w:cs="仿宋_GB2312" w:eastAsia="仿宋_GB2312"/>
                      <w:sz w:val="21"/>
                    </w:rPr>
                    <w:t>GE需供瞬切能谱采集，西门子需提供双源能谱采集，飞利浦需提供双层探测器能谱采集，佳能需提供高压切换能谱采集</w:t>
                  </w:r>
                  <w:r>
                    <w:rPr>
                      <w:rFonts w:ascii="仿宋_GB2312" w:hAnsi="仿宋_GB2312" w:cs="仿宋_GB2312" w:eastAsia="仿宋_GB2312"/>
                      <w:sz w:val="21"/>
                    </w:rPr>
                    <w:t>，</w:t>
                  </w:r>
                  <w:r>
                    <w:rPr>
                      <w:rFonts w:ascii="仿宋_GB2312" w:hAnsi="仿宋_GB2312" w:cs="仿宋_GB2312" w:eastAsia="仿宋_GB2312"/>
                      <w:sz w:val="21"/>
                    </w:rPr>
                    <w:t>联影需提供</w:t>
                  </w:r>
                  <w:r>
                    <w:rPr>
                      <w:rFonts w:ascii="仿宋_GB2312" w:hAnsi="仿宋_GB2312" w:cs="仿宋_GB2312" w:eastAsia="仿宋_GB2312"/>
                      <w:sz w:val="21"/>
                    </w:rPr>
                    <w:t>KV切换采集高低能数据，其他厂家自述</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无需动床最大能谱扫描范围</w:t>
                  </w:r>
                  <w:r>
                    <w:rPr>
                      <w:rFonts w:ascii="仿宋_GB2312" w:hAnsi="仿宋_GB2312" w:cs="仿宋_GB2312" w:eastAsia="仿宋_GB2312"/>
                      <w:sz w:val="21"/>
                    </w:rPr>
                    <w:t>：</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≥160mm</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低剂量迭代能谱成像技术，可以复合迭代重建算法，进行低剂量能谱数据采集</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射线敏感部位屏蔽技术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图像域和原始数据域能谱分析</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能谱曲线分析：</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虚拟平扫功能：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最佳</w:t>
                  </w:r>
                  <w:r>
                    <w:rPr>
                      <w:rFonts w:ascii="仿宋_GB2312" w:hAnsi="仿宋_GB2312" w:cs="仿宋_GB2312" w:eastAsia="仿宋_GB2312"/>
                      <w:sz w:val="21"/>
                    </w:rPr>
                    <w:t>CNR</w:t>
                  </w:r>
                  <w:r>
                    <w:rPr>
                      <w:rFonts w:ascii="仿宋_GB2312" w:hAnsi="仿宋_GB2312" w:cs="仿宋_GB2312" w:eastAsia="仿宋_GB2312"/>
                      <w:sz w:val="21"/>
                    </w:rPr>
                    <w:t>图像输出：</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碘图成像，可进行全身能谱碘图成像：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基物质成像功能：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单光子成像功能：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有效原子序数</w:t>
                  </w:r>
                  <w:r>
                    <w:rPr>
                      <w:rFonts w:ascii="仿宋_GB2312" w:hAnsi="仿宋_GB2312" w:cs="仿宋_GB2312" w:eastAsia="仿宋_GB2312"/>
                      <w:sz w:val="21"/>
                    </w:rPr>
                    <w:t>图像</w:t>
                  </w:r>
                  <w:r>
                    <w:rPr>
                      <w:rFonts w:ascii="仿宋_GB2312" w:hAnsi="仿宋_GB2312" w:cs="仿宋_GB2312" w:eastAsia="仿宋_GB2312"/>
                      <w:sz w:val="21"/>
                    </w:rPr>
                    <w:t>：</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电子密度测定功能：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结石成份分析功能：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尿酸</w:t>
                  </w:r>
                  <w:r>
                    <w:rPr>
                      <w:rFonts w:ascii="仿宋_GB2312" w:hAnsi="仿宋_GB2312" w:cs="仿宋_GB2312" w:eastAsia="仿宋_GB2312"/>
                      <w:sz w:val="21"/>
                    </w:rPr>
                    <w:t>成分</w:t>
                  </w:r>
                  <w:r>
                    <w:rPr>
                      <w:rFonts w:ascii="仿宋_GB2312" w:hAnsi="仿宋_GB2312" w:cs="仿宋_GB2312" w:eastAsia="仿宋_GB2312"/>
                      <w:sz w:val="21"/>
                    </w:rPr>
                    <w:t>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能谱去金属伪影技术：</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脑出血能谱成像分析功能：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6.41.19.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肝脏肿瘤能谱成像分析功能：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6.41.20.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肺结节能谱成像功能：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6.41.21.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能谱胸水分析功能：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主计算机系统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扫描控制台：</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显示器规格：</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≥19英寸彩色平板高分辨率显示器，显示器矩阵≥1280×1024</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CPU：</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64位，≥2颗</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7.1.3.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CPU频帧：</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≥2.0GHz，≥6核，</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7.1.4.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计算机内存：</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≥32GB</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7.1.5.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独立鼠标键盘：</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7.1.6.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原始数据重建功能：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7.1.7.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图像后处理功能：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数据硬盘总容量：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≥3TB</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主机图像硬盘图像存储（</w:t>
                  </w:r>
                  <w:r>
                    <w:rPr>
                      <w:rFonts w:ascii="仿宋_GB2312" w:hAnsi="仿宋_GB2312" w:cs="仿宋_GB2312" w:eastAsia="仿宋_GB2312"/>
                      <w:sz w:val="21"/>
                    </w:rPr>
                    <w:t>512×512，未压缩）：</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≥800,000幅</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DVD盘容量规格：</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≥4.7GB</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DVD盘图像存储量：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≥7500幅图像（512×512矩阵）</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图像重建矩阵：</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≥512×512</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图像显示矩阵：</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≥1024×1024</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主机多任务并行处理功能：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具备，扫描、重建、显示、图像传输、后处理、自动照相、打印等任务并行处理</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激光相机数字化接口：</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7.10.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标准</w:t>
                  </w:r>
                  <w:r>
                    <w:rPr>
                      <w:rFonts w:ascii="仿宋_GB2312" w:hAnsi="仿宋_GB2312" w:cs="仿宋_GB2312" w:eastAsia="仿宋_GB2312"/>
                      <w:sz w:val="21"/>
                    </w:rPr>
                    <w:t>DICOM3.0接口：</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worklist，图像打印，图像传输，数据查询与检查，MPPS功能</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独立图像后处理工作站</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需提供原厂最新版本工作站，</w:t>
                  </w:r>
                  <w:r>
                    <w:rPr>
                      <w:rFonts w:ascii="仿宋_GB2312" w:hAnsi="仿宋_GB2312" w:cs="仿宋_GB2312" w:eastAsia="仿宋_GB2312"/>
                      <w:sz w:val="21"/>
                      <w:b/>
                    </w:rPr>
                    <w:t>例如</w:t>
                  </w:r>
                  <w:r>
                    <w:rPr>
                      <w:rFonts w:ascii="仿宋_GB2312" w:hAnsi="仿宋_GB2312" w:cs="仿宋_GB2312" w:eastAsia="仿宋_GB2312"/>
                      <w:sz w:val="21"/>
                      <w:b/>
                    </w:rPr>
                    <w:t>Canon需提供Vital,GE需提供AW4.7,西门子需提供Syngo Via，飞利浦需提供Intellispace portal,其他厂商自行说明</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CPU主频</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≥3.0G, ≥6核心</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总内存：</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≥32GB</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硬盘总容量：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≥2000GB</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DVD刻录数据存储系统：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光盘刻录数据存储系统：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8.6.</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显示器规格：</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≥24英寸彩色高分辨率平板显示器</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显示器矩阵：</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≥1280×1024</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病例数据信息自定义功能：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DICOM 3.0协议：</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具备，实现数据和信息的保存、打印、查询、检索等</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8.10.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图像格式转换功能：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具备，所有图像均可转化为</w:t>
                  </w:r>
                  <w:r>
                    <w:rPr>
                      <w:rFonts w:ascii="仿宋_GB2312" w:hAnsi="仿宋_GB2312" w:cs="仿宋_GB2312" w:eastAsia="仿宋_GB2312"/>
                      <w:sz w:val="21"/>
                    </w:rPr>
                    <w:t>JPEG、BMP、AVI文件并传输到PC机上使用</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自动报告系统：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8.12.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个性化拍片模式：</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其他附件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9.1.1.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扫描附件：</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提供，包括头垫，床垫，全套水模，各种绑带，输液架等</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9.1.2.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CT用心电监护仪：</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9.1.3.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远程维修保养系统：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9.1.4.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操作台桌椅：</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附属设备</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高压注射器一套</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注射头屏幕显示方向根据注射头旋转角度自动旋转，支持自适应显示</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10.1.4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内外双屏实时同步显示实时压力曲线等注射状态</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10.1.5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注射机头可以编辑注射方案</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10.1.7</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具备独立信息管理平台，不绑定设备，院内网络下即可登陆操作</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10.1.8</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信息管理平台支持个性化方案设置，覆盖所有检查部位（提供功能截图）</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10.1.9</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信息管理平台支持多院区、多台设备管理（提供功能截图）</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防护用品一套</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铅帽、铅毯、铅围脖、铅围裙、</w:t>
                  </w:r>
                  <w:r>
                    <w:rPr>
                      <w:rFonts w:ascii="仿宋_GB2312" w:hAnsi="仿宋_GB2312" w:cs="仿宋_GB2312" w:eastAsia="仿宋_GB2312"/>
                      <w:sz w:val="21"/>
                    </w:rPr>
                    <w:t>铅眼镜</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人工智能</w:t>
                  </w:r>
                  <w:r>
                    <w:rPr>
                      <w:rFonts w:ascii="仿宋_GB2312" w:hAnsi="仿宋_GB2312" w:cs="仿宋_GB2312" w:eastAsia="仿宋_GB2312"/>
                      <w:sz w:val="21"/>
                    </w:rPr>
                    <w:t>AI模块</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肺结节分析，头颈</w:t>
                  </w:r>
                  <w:r>
                    <w:rPr>
                      <w:rFonts w:ascii="仿宋_GB2312" w:hAnsi="仿宋_GB2312" w:cs="仿宋_GB2312" w:eastAsia="仿宋_GB2312"/>
                      <w:sz w:val="21"/>
                    </w:rPr>
                    <w:t>血管</w:t>
                  </w:r>
                  <w:r>
                    <w:rPr>
                      <w:rFonts w:ascii="仿宋_GB2312" w:hAnsi="仿宋_GB2312" w:cs="仿宋_GB2312" w:eastAsia="仿宋_GB2312"/>
                      <w:sz w:val="21"/>
                    </w:rPr>
                    <w:t>及心脏冠脉分析软件</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冠脉</w:t>
                  </w:r>
                  <w:r>
                    <w:rPr>
                      <w:rFonts w:ascii="仿宋_GB2312" w:hAnsi="仿宋_GB2312" w:cs="仿宋_GB2312" w:eastAsia="仿宋_GB2312"/>
                      <w:sz w:val="21"/>
                    </w:rPr>
                    <w:t>CTA影像智能辅助诊断系统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具备国家药监局第三类医疗器械注册证，提供证明材料</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10.3.1.2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冠脉</w:t>
                  </w:r>
                  <w:r>
                    <w:rPr>
                      <w:rFonts w:ascii="仿宋_GB2312" w:hAnsi="仿宋_GB2312" w:cs="仿宋_GB2312" w:eastAsia="仿宋_GB2312"/>
                      <w:sz w:val="21"/>
                    </w:rPr>
                    <w:t>CTA产品功能需经临床验证，疾病检测感性≥90%，提供证明材料。</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10.3.1.3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具备多期像序列展示功能，自动将多期像序列合并序列展示，提示不同序列图像质量评分并标示</w:t>
                  </w:r>
                  <w:r>
                    <w:rPr>
                      <w:rFonts w:ascii="仿宋_GB2312" w:hAnsi="仿宋_GB2312" w:cs="仿宋_GB2312" w:eastAsia="仿宋_GB2312"/>
                      <w:sz w:val="21"/>
                    </w:rPr>
                    <w:t>1～5分值，自动默认推荐图像质量最优序列。</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10.3.1.4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冠脉</w:t>
                  </w:r>
                  <w:r>
                    <w:rPr>
                      <w:rFonts w:ascii="仿宋_GB2312" w:hAnsi="仿宋_GB2312" w:cs="仿宋_GB2312" w:eastAsia="仿宋_GB2312"/>
                      <w:sz w:val="21"/>
                    </w:rPr>
                    <w:t>CTA提供左冠、右冠类重建组件，可将左冠和右冠的血管分别单独进行MIP、Reverse-MIP和类造影图像进行重建。</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10.3.1.5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具备独立的斑块分析视图，包含并支持</w:t>
                  </w:r>
                  <w:r>
                    <w:rPr>
                      <w:rFonts w:ascii="仿宋_GB2312" w:hAnsi="仿宋_GB2312" w:cs="仿宋_GB2312" w:eastAsia="仿宋_GB2312"/>
                      <w:sz w:val="21"/>
                    </w:rPr>
                    <w:t>VR图、CPR图、探针图、轴位图、侧边栏的同步联动，自动识别所有斑块的类型、位置、长度、体积、最小管腔面积和最狭窄程度以及不同成分的体积和占比，自动生成斑块成分曲线，并支持调整不同成分的阈值</w:t>
                  </w:r>
                  <w:r>
                    <w:rPr>
                      <w:rFonts w:ascii="仿宋_GB2312" w:hAnsi="仿宋_GB2312" w:cs="仿宋_GB2312" w:eastAsia="仿宋_GB2312"/>
                      <w:sz w:val="21"/>
                    </w:rPr>
                    <w:t>。</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头颈</w:t>
                  </w:r>
                  <w:r>
                    <w:rPr>
                      <w:rFonts w:ascii="仿宋_GB2312" w:hAnsi="仿宋_GB2312" w:cs="仿宋_GB2312" w:eastAsia="仿宋_GB2312"/>
                      <w:sz w:val="21"/>
                    </w:rPr>
                    <w:t>CTA影像智能辅助诊断系统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10.3.2.1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具备国家药监局第三类医疗器械注册证，提供证明材料。</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10.3.2.2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经临床验证图像自动后处理合格率</w:t>
                  </w:r>
                  <w:r>
                    <w:rPr>
                      <w:rFonts w:ascii="仿宋_GB2312" w:hAnsi="仿宋_GB2312" w:cs="仿宋_GB2312" w:eastAsia="仿宋_GB2312"/>
                      <w:sz w:val="21"/>
                    </w:rPr>
                    <w:t>≥90% ，提供证明材料。</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10.3.2.3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经临床验证，基于血管层面，对于</w:t>
                  </w:r>
                  <w:r>
                    <w:rPr>
                      <w:rFonts w:ascii="仿宋_GB2312" w:hAnsi="仿宋_GB2312" w:cs="仿宋_GB2312" w:eastAsia="仿宋_GB2312"/>
                      <w:sz w:val="21"/>
                    </w:rPr>
                    <w:t>≥50% 的狭窄，准确性≥90%，敏感性≥90%，提供证明材料。</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10.3.2.4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系统具备血管斑块智能诊断功能：可疑血管斑块检出、血管斑块位置标记、血管管壁斑块分类、管腔狭窄程度评估等。</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10.3.2.5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系统具备颅内动脉瘤智能诊断功能：可疑颅内动脉瘤检出、颅内动脉瘤标记定位颅内动脉瘤、针对动脉瘤的</w:t>
                  </w:r>
                  <w:r>
                    <w:rPr>
                      <w:rFonts w:ascii="仿宋_GB2312" w:hAnsi="仿宋_GB2312" w:cs="仿宋_GB2312" w:eastAsia="仿宋_GB2312"/>
                      <w:sz w:val="21"/>
                    </w:rPr>
                    <w:t>VR 图像展示、颅内动脉瘤直径测量等。</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CT肺结节影像智能辅助诊断系统</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10.3.3.1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具备国家药监局第三类医疗器械注册证，提供证明材料。</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10.3.3.2</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系统具备肺结节自动检出、自动定位、智能分析、智能报告生成功能。</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10.3.3.3</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系统具备多方位智能展示功能，可实现</w:t>
                  </w:r>
                  <w:r>
                    <w:rPr>
                      <w:rFonts w:ascii="仿宋_GB2312" w:hAnsi="仿宋_GB2312" w:cs="仿宋_GB2312" w:eastAsia="仿宋_GB2312"/>
                      <w:sz w:val="21"/>
                    </w:rPr>
                    <w:t>360度自由移动并旋转的交互式多平面重建。</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10.3.3.4</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系统具备动态全肺</w:t>
                  </w:r>
                  <w:r>
                    <w:rPr>
                      <w:rFonts w:ascii="仿宋_GB2312" w:hAnsi="仿宋_GB2312" w:cs="仿宋_GB2312" w:eastAsia="仿宋_GB2312"/>
                      <w:sz w:val="21"/>
                    </w:rPr>
                    <w:t>VR图像功能，显示结节在肺叶内的相对位置。</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10.3.3.5</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系统支持肺结节智能随访。</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11.</w:t>
                  </w:r>
                </w:p>
              </w:tc>
              <w:tc>
                <w:tcPr>
                  <w:tcW w:type="dxa" w:w="12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质保</w:t>
                  </w:r>
                  <w:r>
                    <w:rPr>
                      <w:rFonts w:ascii="仿宋_GB2312" w:hAnsi="仿宋_GB2312" w:cs="仿宋_GB2312" w:eastAsia="仿宋_GB2312"/>
                      <w:sz w:val="21"/>
                      <w:b/>
                    </w:rPr>
                    <w:t>3年</w:t>
                  </w:r>
                </w:p>
              </w:tc>
              <w:tc>
                <w:tcPr>
                  <w:tcW w:type="dxa" w:w="9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b/>
                    </w:rPr>
                    <w:t>整机质保</w:t>
                  </w:r>
                  <w:r>
                    <w:rPr>
                      <w:rFonts w:ascii="仿宋_GB2312" w:hAnsi="仿宋_GB2312" w:cs="仿宋_GB2312" w:eastAsia="仿宋_GB2312"/>
                      <w:sz w:val="21"/>
                      <w:b/>
                    </w:rPr>
                    <w:t>2年，技术保1年</w:t>
                  </w:r>
                </w:p>
              </w:tc>
            </w:tr>
          </w:tbl>
          <w:p>
            <w:pPr>
              <w:pStyle w:val="null3"/>
              <w:ind w:firstLine="420"/>
              <w:jc w:val="left"/>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Ind w:type="dxa" w:w="45"/>
              <w:tblBorders>
                <w:top w:val="none" w:color="000000" w:sz="4"/>
                <w:left w:val="none" w:color="000000" w:sz="4"/>
                <w:bottom w:val="none" w:color="000000" w:sz="4"/>
                <w:right w:val="none" w:color="000000" w:sz="4"/>
                <w:insideH w:val="none"/>
                <w:insideV w:val="none"/>
              </w:tblBorders>
            </w:tblPr>
            <w:tblGrid>
              <w:gridCol w:w="374"/>
              <w:gridCol w:w="1223"/>
              <w:gridCol w:w="957"/>
            </w:tblGrid>
            <w:tr>
              <w:tc>
                <w:tcPr>
                  <w:tcW w:type="dxa" w:w="37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122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机架孔径：</w:t>
                  </w:r>
                </w:p>
              </w:tc>
              <w:tc>
                <w:tcPr>
                  <w:tcW w:type="dxa" w:w="95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≥78cm</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2.1.</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扫描床最低可降至离地面距离：</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cm</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2.3.</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扫描床水平移动范围：</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0cm</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2.8.</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最大床载重量（保证定位精度）：</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300</w:t>
                  </w:r>
                  <w:r>
                    <w:rPr>
                      <w:rFonts w:ascii="仿宋_GB2312" w:hAnsi="仿宋_GB2312" w:cs="仿宋_GB2312" w:eastAsia="仿宋_GB2312"/>
                      <w:sz w:val="21"/>
                    </w:rPr>
                    <w:t>kg</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3.3.</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探测器物理单元总数：</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≥210000个</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3.4.</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每排探测器物理采集层厚：</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≤0.6mm</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3.5.</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每排探测器数据采集有效物理个数：</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830</w:t>
                  </w:r>
                  <w:r>
                    <w:rPr>
                      <w:rFonts w:ascii="仿宋_GB2312" w:hAnsi="仿宋_GB2312" w:cs="仿宋_GB2312" w:eastAsia="仿宋_GB2312"/>
                      <w:sz w:val="21"/>
                    </w:rPr>
                    <w:t>个</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4.8.</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球管电流物理最大输出：</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≥900mA</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4.9.</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球管电流最小输出：</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≤10mA</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4.10.</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球管焦点到探测器中心距离：</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cm</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5.5.</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螺旋扫描开放探测器最大排数</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28</w:t>
                  </w:r>
                  <w:r>
                    <w:rPr>
                      <w:rFonts w:ascii="仿宋_GB2312" w:hAnsi="仿宋_GB2312" w:cs="仿宋_GB2312" w:eastAsia="仿宋_GB2312"/>
                      <w:sz w:val="21"/>
                    </w:rPr>
                    <w:t>排</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5.11.</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单次最大连续螺旋扫描时间：</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≥100秒</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5.15.</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螺旋扫描探测器最大准直宽度：</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≥8cm</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5.21.</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CT值显示范围：</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-30000至+30000</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5.22.</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图像重建速度</w:t>
                  </w:r>
                  <w:r>
                    <w:rPr>
                      <w:rFonts w:ascii="仿宋_GB2312" w:hAnsi="仿宋_GB2312" w:cs="仿宋_GB2312" w:eastAsia="仿宋_GB2312"/>
                      <w:sz w:val="21"/>
                    </w:rPr>
                    <w:t>(512×512矩阵,采用各厂家混和迭代技术)</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0幅/秒</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5.23.</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空间分辨率（要求在标准水模，临床测试条件下，</w:t>
                  </w:r>
                  <w:r>
                    <w:rPr>
                      <w:rFonts w:ascii="仿宋_GB2312" w:hAnsi="仿宋_GB2312" w:cs="仿宋_GB2312" w:eastAsia="仿宋_GB2312"/>
                      <w:sz w:val="21"/>
                    </w:rPr>
                    <w:t>X-Y轴平面测得）：</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.5</w:t>
                  </w:r>
                  <w:r>
                    <w:rPr>
                      <w:rFonts w:ascii="仿宋_GB2312" w:hAnsi="仿宋_GB2312" w:cs="仿宋_GB2312" w:eastAsia="仿宋_GB2312"/>
                      <w:sz w:val="21"/>
                    </w:rPr>
                    <w:t>LP/cm@MTF0%</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6.41.4.</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双能能谱成像扫描野：</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≥50cm</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10.1.1.</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CT双筒高压注射器注射机头内嵌≥8.4寸彩色触摸显示屏并且可以显示实时压力曲线及注射状态</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10.1.3.</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压力上限</w:t>
                  </w:r>
                  <w:r>
                    <w:rPr>
                      <w:rFonts w:ascii="仿宋_GB2312" w:hAnsi="仿宋_GB2312" w:cs="仿宋_GB2312" w:eastAsia="仿宋_GB2312"/>
                      <w:sz w:val="21"/>
                    </w:rPr>
                    <w:t>≥330psi，压力精度±10psi；提供产品注册时的检测报告</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10.1.6.</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支持自动获取患者信息，生成图形化注射报告</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r>
              <w:tc>
                <w:tcPr>
                  <w:tcW w:type="dxa" w:w="3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10.1.10.</w:t>
                  </w:r>
                </w:p>
              </w:tc>
              <w:tc>
                <w:tcPr>
                  <w:tcW w:type="dxa" w:w="12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信息管理平台支持生成数据看板进行管理分析（提供平台看板截图）</w:t>
                  </w:r>
                </w:p>
              </w:tc>
              <w:tc>
                <w:tcPr>
                  <w:tcW w:type="dxa" w:w="9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具备</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按采购人实际需求交货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货物全部运到招标人指定地方，安装完毕并经终验合格后，甲方收到发票 ，达到付款条件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运行90日后，乙方提出付款申请</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（一）自验收合格之日起，原厂质保3年,整机质保2年，技术保1年。 （二）保修期内若主要配件故障，更换后配件的保修期从更换之日起重新计算。 （三）保修期过后只收取配件费用，免服务费，列出超出质保期后不同年限的主要配件的保修价格。 （四）维修响应时间：乙方接到故障报告后在 1 小时内响应， 24 小时内到达现场，提供备用机。 （五）乙方对甲方购买的设备至少每半年进行一次免费维护保养，并提供维护保养记录。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违约责任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1.在执行本合同中发生的或与本合同有关的争端，双方应通过友好协商解决，经协商在XX 天内不能达成协议时，则采取以下第1种方式解决争议： （1）向甲方所在地有管辖权的人民法院提起诉讼； （2）向/ 仲裁委员会按其仲裁规则申请仲裁。2.在仲裁期间，本合同应继续履行。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（1）中标人在领取中标通知书时须提供一套正本一套副本纸质投标文件，两套电子文件（光盘），应通过专用制作软件直接打印，确保与电子投标文件保持一致，不得修改和补充。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（1）投标人的营业执照等证明文件，自然人的身份证明； （2）法定代表人（单位负责人）参加投标的，提供本人身份证复印件并出示身份证原件；法定代表人（单位负责人）授权他人参加投标的，提供法定代表人委托授权书并出示被授权代表的身份证原件； （3）财务状况报告：提供2024年度经审计的投标人财务会计报告或者基本账户开户银行出具的资信证明，投标人成立不到1年的，可提供企业任意时段财务报表； （4）税收缴纳证明：提供投标人自投标前6个月以来已缴纳任意时段完税凭证或税务机关开具的完税证明（任意税种）；依法免税的应提供相关文件证明； （5）社会保障资金缴纳证明：提供投标人自投标前6个月以来已缴存的任意时段的社会保障资金缴存单据或社保机构开具的社会保险参保缴费情况证明；依法不需要缴纳社会保障资金的投标人应提供相关文件证明； （6）投标人提供具备履行合同所必需的设备和专业技术能力的承诺函； （7）投标人参加本次采购前3年内，在经营活动中没有重大违法记录的书面声明。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投标人财务会计报告或者基本账户开户银行出具的资信证明，投标人成立不到1年的，可提供企业任意时段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为制造厂家的应出具医疗器械生产许可证（提供的设备须在其生产范围内）和所投设备医疗器械注册证；投标人为经销商的应出具医疗器械经营许可证或《医疗器械经营备案凭证》（提供的设备须在其经营范围内）和所投产品《医疗器械注册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投标保证金缴纳凭证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投标人信用要求</w:t>
            </w:r>
          </w:p>
        </w:tc>
        <w:tc>
          <w:tcPr>
            <w:tcW w:type="dxa" w:w="3322"/>
          </w:tcPr>
          <w:p>
            <w:pPr>
              <w:pStyle w:val="null3"/>
            </w:pPr>
            <w:r>
              <w:rPr>
                <w:rFonts w:ascii="仿宋_GB2312" w:hAnsi="仿宋_GB2312" w:cs="仿宋_GB2312" w:eastAsia="仿宋_GB2312"/>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投标人名称是否与营业执照、资质证书一致</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资格证明文件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投标报价是否超过预算或最高限价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均符合招标文件要求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所投内容是否完整</w:t>
            </w:r>
          </w:p>
        </w:tc>
        <w:tc>
          <w:tcPr>
            <w:tcW w:type="dxa" w:w="3322"/>
          </w:tcPr>
          <w:p>
            <w:pPr>
              <w:pStyle w:val="null3"/>
            </w:pPr>
            <w:r>
              <w:rPr>
                <w:rFonts w:ascii="仿宋_GB2312" w:hAnsi="仿宋_GB2312" w:cs="仿宋_GB2312" w:eastAsia="仿宋_GB2312"/>
              </w:rPr>
              <w:t>所投内容完整</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签字盖章是否满足招标文件要求</w:t>
            </w:r>
          </w:p>
        </w:tc>
        <w:tc>
          <w:tcPr>
            <w:tcW w:type="dxa" w:w="3322"/>
          </w:tcPr>
          <w:p>
            <w:pPr>
              <w:pStyle w:val="null3"/>
            </w:pPr>
            <w:r>
              <w:rPr>
                <w:rFonts w:ascii="仿宋_GB2312" w:hAnsi="仿宋_GB2312" w:cs="仿宋_GB2312" w:eastAsia="仿宋_GB2312"/>
              </w:rPr>
              <w:t>签字盖章均符合招标文件要求，且无遗漏</w:t>
            </w:r>
          </w:p>
        </w:tc>
        <w:tc>
          <w:tcPr>
            <w:tcW w:type="dxa" w:w="1661"/>
          </w:tcPr>
          <w:p>
            <w:pPr>
              <w:pStyle w:val="null3"/>
            </w:pPr>
            <w:r>
              <w:rPr>
                <w:rFonts w:ascii="仿宋_GB2312" w:hAnsi="仿宋_GB2312" w:cs="仿宋_GB2312" w:eastAsia="仿宋_GB2312"/>
              </w:rPr>
              <w:t>开标一览表 资格证明文件 投标文件封面 拒绝政府采购领域商业贿赂承诺书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一、评审内容：所投设备（产品）技术参数。 二、评审标准：性能满足或优于招标文件要求，且稳定可靠，能够保证整体项目顺利实施，根据各投标人对其所投设备（产品）数量准确、规格进行描述，并提供生产厂家确认的、相应的功能证明材料（包括但不限于检测报告或测试报告或官网和功能截图或产品说明书或技术白皮书等），描述无缺漏详细具体且证明材料完整。 三、赋分标准：全部满足得42分，每负偏离一项“▲”指标减3分，每负偏离一项非“▲”指标减1分，扣完为止。(正偏离不加分)。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投标人认为需要提供的其他资料（若有）</w:t>
            </w:r>
          </w:p>
          <w:p>
            <w:pPr>
              <w:pStyle w:val="null3"/>
            </w:pPr>
            <w:r>
              <w:rPr>
                <w:rFonts w:ascii="仿宋_GB2312" w:hAnsi="仿宋_GB2312" w:cs="仿宋_GB2312" w:eastAsia="仿宋_GB2312"/>
              </w:rPr>
              <w:t>详细评审方案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针对本项目及使用单位实际需求提供详细具体可行的有针对性的实施方案；②由专业的技术人员提供设备（产品）安装服务，帮助使用单位将设备（产品）调试到最佳使用状态，保证项目的顺利运行。 二、评审标准：1、完整性：方案全面，对评审内容中的各项要求有详细描述；2、可实施性：切合本项目实际情况，实施步骤清晰，方法科学；3、针对性：方案能够紧扣项目实际情况，内容科学合理。 三、赋分标准：①针对本项目及使用单位实际需求提供详细具体可行的有针对性的实施方案：每完全满足一个评审标准得2分，满分5分； ②由专业的技术人员提供设备（产品）安装服务，帮助使用单位将设备（产品）调试到最佳使用状态，保证项目的顺利运行：每完全满足一个评审标准得2分，满分5分。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投标人认为需要提供的其他资料（若有）</w:t>
            </w:r>
          </w:p>
          <w:p>
            <w:pPr>
              <w:pStyle w:val="null3"/>
            </w:pPr>
            <w:r>
              <w:rPr>
                <w:rFonts w:ascii="仿宋_GB2312" w:hAnsi="仿宋_GB2312" w:cs="仿宋_GB2312" w:eastAsia="仿宋_GB2312"/>
              </w:rPr>
              <w:t>详细评审方案</w:t>
            </w:r>
          </w:p>
        </w:tc>
      </w:tr>
      <w:tr>
        <w:tc>
          <w:tcPr>
            <w:tcW w:type="dxa" w:w="831"/>
            <w:vMerge/>
          </w:tcPr>
          <w:p/>
        </w:tc>
        <w:tc>
          <w:tcPr>
            <w:tcW w:type="dxa" w:w="1661"/>
          </w:tcPr>
          <w:p>
            <w:pPr>
              <w:pStyle w:val="null3"/>
            </w:pPr>
            <w:r>
              <w:rPr>
                <w:rFonts w:ascii="仿宋_GB2312" w:hAnsi="仿宋_GB2312" w:cs="仿宋_GB2312" w:eastAsia="仿宋_GB2312"/>
              </w:rPr>
              <w:t>交货组织安排</w:t>
            </w:r>
          </w:p>
        </w:tc>
        <w:tc>
          <w:tcPr>
            <w:tcW w:type="dxa" w:w="2492"/>
          </w:tcPr>
          <w:p>
            <w:pPr>
              <w:pStyle w:val="null3"/>
            </w:pPr>
            <w:r>
              <w:rPr>
                <w:rFonts w:ascii="仿宋_GB2312" w:hAnsi="仿宋_GB2312" w:cs="仿宋_GB2312" w:eastAsia="仿宋_GB2312"/>
              </w:rPr>
              <w:t>一、评审内容：①投标人针对本项目有具体的交货组织安排，详细的人员、财力调配、运输、派送措施。 二、评审标准：1、完整性：方案全面，对评审内容中的各项要求有详细描述；2、可实施性：切合本项目实际情况，实施步骤清晰，方法科学；3、针对性：方案能够紧扣项目实际情况，内容科学合理。 三、赋分标准：①投标人针对本项目有具体的交货组织安排，详细的人员、财力调配、运输、派送措施：每完全满足一个评审标准得1分，满分3分。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投标人认为需要提供的其他资料（若有）</w:t>
            </w:r>
          </w:p>
          <w:p>
            <w:pPr>
              <w:pStyle w:val="null3"/>
            </w:pPr>
            <w:r>
              <w:rPr>
                <w:rFonts w:ascii="仿宋_GB2312" w:hAnsi="仿宋_GB2312" w:cs="仿宋_GB2312" w:eastAsia="仿宋_GB2312"/>
              </w:rPr>
              <w:t>详细评审方案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一、评审内容：①投标人提供的培训方案（包括但不限于培训人数、培训时间、培训及考核办法等），保证使用方能熟练操作。 二、评审标准：1、完整性：方案全面，对评审内容中的各项要求有详细描述；2、可实施性：切合本项目实际情况，实施步骤清晰，方法科学；3、针对性：方案能够紧扣项目实际情况，内容科学合理。 三、赋分标准：①投标人提供的培训方案（包括但不限于培训人数、培训时间、培训及考核办法等），保证使用方能熟练操作：每完全满足一个评审标准得1.5分，满分4分。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投标人认为需要提供的其他资料（若有）</w:t>
            </w:r>
          </w:p>
          <w:p>
            <w:pPr>
              <w:pStyle w:val="null3"/>
            </w:pPr>
            <w:r>
              <w:rPr>
                <w:rFonts w:ascii="仿宋_GB2312" w:hAnsi="仿宋_GB2312" w:cs="仿宋_GB2312" w:eastAsia="仿宋_GB2312"/>
              </w:rPr>
              <w:t>详细评审方案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①售后服务机构健全，能够提供本地化服务；②具有相应的物力、人力保障，能够保证产、供、销，服务正常运转，有详细的在产品发生不同类型故障后的到达现场时间、解决故障时间、补救措施等方面的措施或方案，同时具有明确的承诺且符合实际需求。 二、评审标准：1、完整性：方案全面，对评审内容中的各项要求有详细描述；2、可实施性：切合本项目实际情况，实施步骤清晰，方法科学；3、针对性：方案能够紧扣项目实际情况，内容科学合理。 三、赋分标准：①售后服务机构健全，能够提供本地化服务：每完全满足一个评审标准得1分，满分3分。 ②具有相应的物力、人力保障，能够保证产、供、销，服务正常运转，有详细的在产品发生不同类型故障后的到达现场时间、解决故障时间、补救措施等方面的措施或方案，同时具有明确的承诺且符合实际需求：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投标人认为需要提供的其他资料（若有）</w:t>
            </w:r>
          </w:p>
          <w:p>
            <w:pPr>
              <w:pStyle w:val="null3"/>
            </w:pPr>
            <w:r>
              <w:rPr>
                <w:rFonts w:ascii="仿宋_GB2312" w:hAnsi="仿宋_GB2312" w:cs="仿宋_GB2312" w:eastAsia="仿宋_GB2312"/>
              </w:rPr>
              <w:t>详细评审方案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提供自2022年1月1日至今所投产品业绩（以制造商合同或销售商合同为准），每份业绩得1分，满分5分。未提供有效业绩的不得分。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详见附件：投标人认为需要提供的其他资料（若有）</w:t>
      </w:r>
    </w:p>
    <w:p>
      <w:pPr>
        <w:pStyle w:val="null3"/>
        <w:ind w:firstLine="960"/>
      </w:pPr>
      <w:r>
        <w:rPr>
          <w:rFonts w:ascii="仿宋_GB2312" w:hAnsi="仿宋_GB2312" w:cs="仿宋_GB2312" w:eastAsia="仿宋_GB2312"/>
        </w:rPr>
        <w:t>详见附件：详细评审方案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