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版本号：LZBD2025-95320250619001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陕西省农村面源污染突出水体及所涉区域清单编制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LZBD2025-953</w:t>
      </w:r>
      <w:r>
        <w:br/>
      </w:r>
      <w:r>
        <w:br/>
      </w:r>
      <w:r>
        <w:br/>
      </w:r>
    </w:p>
    <w:p>
      <w:pPr>
        <w:pStyle w:val="null3"/>
        <w:jc w:val="center"/>
        <w:outlineLvl w:val="2"/>
      </w:pPr>
      <w:r>
        <w:rPr>
          <w:rFonts w:ascii="仿宋_GB2312" w:hAnsi="仿宋_GB2312" w:cs="仿宋_GB2312" w:eastAsia="仿宋_GB2312"/>
          <w:sz w:val="28"/>
          <w:b/>
        </w:rPr>
        <w:t>陕西省环境科学研究院</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陕西省环境科学研究院</w:t>
      </w:r>
      <w:r>
        <w:rPr>
          <w:rFonts w:ascii="仿宋_GB2312" w:hAnsi="仿宋_GB2312" w:cs="仿宋_GB2312" w:eastAsia="仿宋_GB2312"/>
        </w:rPr>
        <w:t>委托，拟对</w:t>
      </w:r>
      <w:r>
        <w:rPr>
          <w:rFonts w:ascii="仿宋_GB2312" w:hAnsi="仿宋_GB2312" w:cs="仿宋_GB2312" w:eastAsia="仿宋_GB2312"/>
        </w:rPr>
        <w:t>陕西省农村面源污染突出水体及所涉区域清单编制</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LZBD2025-953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陕西省农村面源污染突出水体及所涉区域清单编制</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编制陕西省农村面源污染突出水体及所涉区域清单。具体详见采购文件。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3、财务状况报告：供应商近年（2024年）经审计的财务报告（事业法人可提供部门决算报告）或基本开户银行出具的资信证明或政府采购专业担保机构出具的磋商担保函（事业单位可不提供），供应商需在项目电子化交易系统中按要求上传相应证明文件。</w:t>
      </w:r>
    </w:p>
    <w:p>
      <w:pPr>
        <w:pStyle w:val="null3"/>
      </w:pPr>
      <w:r>
        <w:rPr>
          <w:rFonts w:ascii="仿宋_GB2312" w:hAnsi="仿宋_GB2312" w:cs="仿宋_GB2312" w:eastAsia="仿宋_GB2312"/>
        </w:rPr>
        <w:t>4、参加政府采购活动前3年内在经营活动中没有重大违法记录的书面声明；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供应商信用：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以电子或纸质形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陕西省环境科学研究院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西安市长安北路49号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029-85365360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徐小宁、刘宇佳、张波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029-88228899-646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和改革委员会办公厅颁发的《关于招标代理服务收费有关问题的通知》（发改办价格[2003]857号）及《关于进一步放开建设项目专业服务价格的通知》（发改价格〔2015〕299号）的有关规定收取。2、成交单位在领取成交通知书之前，须向代理机构支付招标代理服务费。3、招标代理服务费以转账或现金形式缴纳至以下账户：开户名称：龙寰项目管理咨询有限公司，开户银行：平安银行西安高新路支行，账 号：30201278016987。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陕西省环境科学研究院</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陕西省环境科学研究院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陕西省环境科学研究院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联系人：徐小宁、刘宇佳、刘强</w:t>
      </w:r>
    </w:p>
    <w:p>
      <w:pPr>
        <w:pStyle w:val="null3"/>
      </w:pPr>
      <w:r>
        <w:rPr>
          <w:rFonts w:ascii="仿宋_GB2312" w:hAnsi="仿宋_GB2312" w:cs="仿宋_GB2312" w:eastAsia="仿宋_GB2312"/>
        </w:rPr>
        <w:t>联系电话：029-888228899-646</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我省各级各部门以生态文明思想为指导，深入贯彻新发展理念，深入推进农业面源污染治理与监督指导试点及农业面源污染监测工作。虽然已经取得积极进展和明显成效，但是农业面源污染具有分散性、不确定性、滞后性和双重性的特点，难以确定监管对象和治污主体，常规生态环境管理模式难以满足日常工作需要，从而对治理模式、监测体系、监管方式提出更高要求。</w:t>
      </w:r>
    </w:p>
    <w:p>
      <w:pPr>
        <w:pStyle w:val="null3"/>
      </w:pPr>
      <w:r>
        <w:rPr>
          <w:rFonts w:ascii="仿宋_GB2312" w:hAnsi="仿宋_GB2312" w:cs="仿宋_GB2312" w:eastAsia="仿宋_GB2312"/>
        </w:rPr>
        <w:t>本项目充分利用已有监测体系，系统分析涉水生态环境质量监测、遥感和调查等数据，筛选水体氮、磷等污染突出的涉农县，特别是重点流域内的涉农县，确定农业面源等农业源重点调查区域，组织开展农业面源污染源调查，发现和研判农业源污染的关键问题，为支撑治理、评估成效提供基础依据，构建《陕西省农业面源污染突出水体及所涉区域清单》。</w:t>
      </w:r>
    </w:p>
    <w:p>
      <w:pPr>
        <w:pStyle w:val="null3"/>
      </w:pPr>
      <w:r>
        <w:rPr>
          <w:rFonts w:ascii="仿宋_GB2312" w:hAnsi="仿宋_GB2312" w:cs="仿宋_GB2312" w:eastAsia="仿宋_GB2312"/>
        </w:rPr>
        <w:t>项目通过建立《陕西省农业面源污染突出水体及所涉区域清单》，识别优先治理区域，支撑全省农业面源污染治理与监督指导工作。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460,000.00</w:t>
      </w:r>
    </w:p>
    <w:p>
      <w:pPr>
        <w:pStyle w:val="null3"/>
      </w:pPr>
      <w:r>
        <w:rPr>
          <w:rFonts w:ascii="仿宋_GB2312" w:hAnsi="仿宋_GB2312" w:cs="仿宋_GB2312" w:eastAsia="仿宋_GB2312"/>
        </w:rPr>
        <w:t>采购包最高限价（元）: 460,000.00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陕西省农村面源污染突出水体及所涉区域清单编制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标的名称：陕西省农村面源污染突出水体及所涉区域清单编制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一、项目情况、项目要求、项目成果详见</w:t>
            </w:r>
            <w:r>
              <w:rPr>
                <w:rFonts w:ascii="仿宋_GB2312" w:hAnsi="仿宋_GB2312" w:cs="仿宋_GB2312" w:eastAsia="仿宋_GB2312"/>
                <w:sz w:val="21"/>
              </w:rPr>
              <w:t>“采购项目概况”。</w:t>
            </w:r>
          </w:p>
          <w:p>
            <w:pPr>
              <w:pStyle w:val="null3"/>
            </w:pPr>
            <w:r>
              <w:rPr>
                <w:rFonts w:ascii="仿宋_GB2312" w:hAnsi="仿宋_GB2312" w:cs="仿宋_GB2312" w:eastAsia="仿宋_GB2312"/>
                <w:sz w:val="21"/>
              </w:rPr>
              <w:t>二、采购内容：</w:t>
            </w:r>
          </w:p>
          <w:p>
            <w:pPr>
              <w:pStyle w:val="null3"/>
            </w:pPr>
            <w:r>
              <w:rPr>
                <w:rFonts w:ascii="仿宋_GB2312" w:hAnsi="仿宋_GB2312" w:cs="仿宋_GB2312" w:eastAsia="仿宋_GB2312"/>
                <w:sz w:val="21"/>
              </w:rPr>
              <w:t>建立农业面源污染突出水体及所涉区域清单，编制相关报告等。</w:t>
            </w:r>
          </w:p>
          <w:p>
            <w:pPr>
              <w:pStyle w:val="null3"/>
            </w:pPr>
            <w:r>
              <w:rPr>
                <w:rFonts w:ascii="仿宋_GB2312" w:hAnsi="仿宋_GB2312" w:cs="仿宋_GB2312" w:eastAsia="仿宋_GB2312"/>
                <w:sz w:val="21"/>
              </w:rPr>
              <w:t>三、</w:t>
            </w:r>
            <w:r>
              <w:rPr>
                <w:rFonts w:ascii="仿宋_GB2312" w:hAnsi="仿宋_GB2312" w:cs="仿宋_GB2312" w:eastAsia="仿宋_GB2312"/>
                <w:sz w:val="21"/>
              </w:rPr>
              <w:t>商务</w:t>
            </w:r>
            <w:r>
              <w:rPr>
                <w:rFonts w:ascii="仿宋_GB2312" w:hAnsi="仿宋_GB2312" w:cs="仿宋_GB2312" w:eastAsia="仿宋_GB2312"/>
                <w:sz w:val="21"/>
              </w:rPr>
              <w:t>要求：</w:t>
            </w:r>
          </w:p>
          <w:p>
            <w:pPr>
              <w:pStyle w:val="null3"/>
            </w:pPr>
            <w:r>
              <w:rPr>
                <w:rFonts w:ascii="仿宋_GB2312" w:hAnsi="仿宋_GB2312" w:cs="仿宋_GB2312" w:eastAsia="仿宋_GB2312"/>
                <w:sz w:val="21"/>
              </w:rPr>
              <w:t>1.受委托的专业机构及其工作人员对其在调查工作中所知悉的国家秘密、商业秘密和技术秘密负有保密义务， 并制定实施相应的保密规定，落实保密责任。</w:t>
            </w:r>
          </w:p>
          <w:p>
            <w:pPr>
              <w:pStyle w:val="null3"/>
            </w:pPr>
            <w:r>
              <w:rPr>
                <w:rFonts w:ascii="仿宋_GB2312" w:hAnsi="仿宋_GB2312" w:cs="仿宋_GB2312" w:eastAsia="仿宋_GB2312"/>
                <w:sz w:val="21"/>
              </w:rPr>
              <w:t>2.专人负责制，配备项目负责人一名，技术负责人一名，项目参与技术人员不少于5名，以上人员不重复计算。</w:t>
            </w:r>
          </w:p>
          <w:p>
            <w:pPr>
              <w:pStyle w:val="null3"/>
            </w:pPr>
            <w:r>
              <w:rPr>
                <w:rFonts w:ascii="仿宋_GB2312" w:hAnsi="仿宋_GB2312" w:cs="仿宋_GB2312" w:eastAsia="仿宋_GB2312"/>
                <w:sz w:val="21"/>
              </w:rPr>
              <w:t>四</w:t>
            </w:r>
            <w:r>
              <w:rPr>
                <w:rFonts w:ascii="仿宋_GB2312" w:hAnsi="仿宋_GB2312" w:cs="仿宋_GB2312" w:eastAsia="仿宋_GB2312"/>
                <w:sz w:val="21"/>
              </w:rPr>
              <w:t>、技术要求：</w:t>
            </w:r>
          </w:p>
          <w:p>
            <w:pPr>
              <w:pStyle w:val="null3"/>
            </w:pPr>
            <w:r>
              <w:rPr>
                <w:rFonts w:ascii="仿宋_GB2312" w:hAnsi="仿宋_GB2312" w:cs="仿宋_GB2312" w:eastAsia="仿宋_GB2312"/>
                <w:sz w:val="21"/>
              </w:rPr>
              <w:t>1.</w:t>
            </w:r>
            <w:r>
              <w:rPr>
                <w:rFonts w:ascii="仿宋_GB2312" w:hAnsi="仿宋_GB2312" w:cs="仿宋_GB2312" w:eastAsia="仿宋_GB2312"/>
                <w:sz w:val="21"/>
              </w:rPr>
              <w:t>具有农业污染面源调查、监测、负荷评估和数据分析等相关专业知识和技能。</w:t>
            </w:r>
          </w:p>
          <w:p>
            <w:pPr>
              <w:pStyle w:val="null3"/>
            </w:pPr>
            <w:r>
              <w:rPr>
                <w:rFonts w:ascii="仿宋_GB2312" w:hAnsi="仿宋_GB2312" w:cs="仿宋_GB2312" w:eastAsia="仿宋_GB2312"/>
                <w:sz w:val="21"/>
              </w:rPr>
              <w:t>2.严格按照《农业面源污染治理与监督指导试点技术指南（试行）》、《农业面源污染突出区域调查技术指南（试行）》（环办土壤函〔2024〕490号）等相关技术要求实施。</w:t>
            </w:r>
          </w:p>
          <w:p>
            <w:pPr>
              <w:pStyle w:val="null3"/>
            </w:pPr>
            <w:r>
              <w:rPr>
                <w:rFonts w:ascii="仿宋_GB2312" w:hAnsi="仿宋_GB2312" w:cs="仿宋_GB2312" w:eastAsia="仿宋_GB2312"/>
                <w:sz w:val="21"/>
              </w:rPr>
              <w:t>3.通过调查资料收集(必要时开展监测)，运用SWAT模型模拟法完成突出水体流域面源污染负荷评估，同时结合现场调查和农业农村相关项目支撑及成果，确定陕西省农业面源污染突出水体及所涉区域清单。</w:t>
            </w:r>
          </w:p>
          <w:p>
            <w:pPr>
              <w:pStyle w:val="null3"/>
            </w:pPr>
            <w:r>
              <w:rPr>
                <w:rFonts w:ascii="仿宋_GB2312" w:hAnsi="仿宋_GB2312" w:cs="仿宋_GB2312" w:eastAsia="仿宋_GB2312"/>
                <w:sz w:val="21"/>
              </w:rPr>
              <w:t>五、项目成果</w:t>
            </w:r>
          </w:p>
          <w:p>
            <w:pPr>
              <w:pStyle w:val="null3"/>
            </w:pPr>
            <w:r>
              <w:rPr>
                <w:rFonts w:ascii="仿宋_GB2312" w:hAnsi="仿宋_GB2312" w:cs="仿宋_GB2312" w:eastAsia="仿宋_GB2312"/>
                <w:sz w:val="21"/>
              </w:rPr>
              <w:t>建立《陕西省农业面源污染突出水体及所涉区域清单》，并通过采购人组织的验收。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成交人要配合采购人的技术修改要求，提供技术答疑，可以按照要求提供技术性较强的调查评估报告。工作要及时开展，不能影响项目进度。 培训要求：采购人可以要求成交人对相关人员举行相关调研内容的培训。</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自合同签订之日起180日。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（一）竞争性磋商文件、竞争性磋商响应文件； （二）本合同及附件文本； （三）合同签订时国家及行业现行的标准和技术规范。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合同签订后，在付款前，必须开具全额发票给采购人</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完成清单编制后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通过采购人组织的项目验收后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1.按照《中华人民共和国民法典》中的相关条款执行。2.未按合同要求提供服务或服务质量不能满足本次采购要求，甲方会同监督机构、采购代理机构有权终止合同和对乙方违约行为进行追究，同时按政府采购法的有关规定进行相应的处罚。 （二）合同争议解决的方式：本合同在履行过程中发生的争议，由甲、乙双方当事人协商解决，协商不成的按下列第2种方式解决：1.提交西安仲裁委员会仲裁；2.依法向有管辖权的人民法院起诉。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 2.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以电子或纸质形式留存。 3.供应商需要在线提交所有通过电子化交易平台实施的政府采购项目的响应文件，同时，线下提交纸质响应文件正本一份、副本二份，电子版本一份（以U盘形式提供，文件格式包含.doc/.docx格式及正本盖章后扫描的.pdf格式），递交截止时间同在线递交电子响应文件截止时间一致。若电子响应文件与纸质响应文件不一致的，以纸质响应文件为准；若正本和副本不符，以正本为准。响应文件正、副本分别各自装订成册密封，在封口处加盖供应商公章。 4.需要落实的政府采购政策：1）《国务院办公厅关于建立政府强制采购节能产品制度的通知》（国办发〔2007〕51号）；2）《财政部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5.本项目非专门面向中小企业采购。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相关资格证明资料.docx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近年（2024年）经审计的财务报告（事业法人可提供部门决算报告）或基本开户银行出具的资信证明或政府采购专业担保机构出具的磋商担保函（事业单位可不提供），供应商需在项目电子化交易系统中按要求上传相应证明文件。</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以电子或纸质形式留存。</w:t>
            </w:r>
          </w:p>
        </w:tc>
        <w:tc>
          <w:tcPr>
            <w:tcW w:type="dxa" w:w="1661"/>
          </w:tcPr>
          <w:p>
            <w:pPr>
              <w:pStyle w:val="null3"/>
            </w:pPr>
            <w:r>
              <w:rPr>
                <w:rFonts w:ascii="仿宋_GB2312" w:hAnsi="仿宋_GB2312" w:cs="仿宋_GB2312" w:eastAsia="仿宋_GB2312"/>
              </w:rPr>
              <w:t>相关资格证明资料.docx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明显低于其他有效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技术响应部分.docx 供应商认为有必要说明的其他事项（如有）.docx 中小企业声明函 报价表 商务响应部分.docx 相关资格证明资料.docx 响应文件封面 残疾人福利性单位声明函 标的清单 法定代表人（或负责人）授权书.docx 响应函 监狱企业的证明文件 采购供应商拒绝政府采购领域商业贿赂承诺书.docx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提供有效的授权委托书及被授权人身份证（法定代表人、单位负责人或自然人直接投标的只需提交其身份证）。</w:t>
            </w:r>
          </w:p>
        </w:tc>
        <w:tc>
          <w:tcPr>
            <w:tcW w:type="dxa" w:w="1661"/>
          </w:tcPr>
          <w:p>
            <w:pPr>
              <w:pStyle w:val="null3"/>
            </w:pPr>
            <w:r>
              <w:rPr>
                <w:rFonts w:ascii="仿宋_GB2312" w:hAnsi="仿宋_GB2312" w:cs="仿宋_GB2312" w:eastAsia="仿宋_GB2312"/>
              </w:rPr>
              <w:t>响应文件封面 法定代表人（或负责人）授权书.docx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对合同权利和义务的响应</w:t>
            </w:r>
          </w:p>
        </w:tc>
        <w:tc>
          <w:tcPr>
            <w:tcW w:type="dxa" w:w="3322"/>
          </w:tcPr>
          <w:p>
            <w:pPr>
              <w:pStyle w:val="null3"/>
            </w:pPr>
            <w:r>
              <w:rPr>
                <w:rFonts w:ascii="仿宋_GB2312" w:hAnsi="仿宋_GB2312" w:cs="仿宋_GB2312" w:eastAsia="仿宋_GB2312"/>
              </w:rPr>
              <w:t>响应服务期限及合同中规定的双方的权利和义务。</w:t>
            </w:r>
          </w:p>
        </w:tc>
        <w:tc>
          <w:tcPr>
            <w:tcW w:type="dxa" w:w="1661"/>
          </w:tcPr>
          <w:p>
            <w:pPr>
              <w:pStyle w:val="null3"/>
            </w:pPr>
            <w:r>
              <w:rPr>
                <w:rFonts w:ascii="仿宋_GB2312" w:hAnsi="仿宋_GB2312" w:cs="仿宋_GB2312" w:eastAsia="仿宋_GB2312"/>
              </w:rPr>
              <w:t>响应文件封面 商务响应部分.docx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①项目背景及必要性； ②工作目标； ③编制范围、框架及内容； ④组织管理及进度安排。 二、评审标准： 1、完整性：内容全面，对评审内容中的各项要求有详细描述； 2、可行性：切合本标段实际情况，提出步骤清晰的方案； 3、针对性：紧扣项目实际情况需求，内容切实合理； 4、专业性：逻辑性强，具有技术含量、技术水准； 5、科学性：应用科学手段解决项目中问题。 三、赋分标准： ①项目背景的理解：每完全满足一个评审标准得1分，满分5分； ②工作目标：每完全满足一个评审标准得1分，满分5分； ③编制范围、框架及内容：每完全满足一个评审标准得1分，满分5分； ④组织管理及进度安排：每完全满足一个评审标准得1分，满分5分。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重难点分析及对应的解决方案</w:t>
            </w:r>
          </w:p>
        </w:tc>
        <w:tc>
          <w:tcPr>
            <w:tcW w:type="dxa" w:w="2492"/>
          </w:tcPr>
          <w:p>
            <w:pPr>
              <w:pStyle w:val="null3"/>
            </w:pPr>
            <w:r>
              <w:rPr>
                <w:rFonts w:ascii="仿宋_GB2312" w:hAnsi="仿宋_GB2312" w:cs="仿宋_GB2312" w:eastAsia="仿宋_GB2312"/>
              </w:rPr>
              <w:t>一、评审内容： ①重难点分析； ②解决方案。 二、评审标准： 1、准确性：对项目重难点把握准确； 2、可行性：结合实际情况，提出可行的方案。 3、科学性：应用科学手段解决项目中问题。 三、赋分标准： ①重难点分析：每完全满足一个评审标准得2分，分析有欠缺的得1分，满分6分； ②解决方案：每完全满足一个评审标准得2分，分析有欠缺的得1分，满分6分。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①服务过程保障； ②内部管理保障； ③服务成果审核保障。 二、评审标准： 1、完整性：内容全面，对评审内容中的各项要求有详细描述； 2、可行性：切合本标段实际情况，提出步骤清晰的方案； 3、针对性：紧扣项目实际情况需求，内容切实合理。 三、赋分标准： ①服务过程保障：每完全满足一个评审标准得1分，满分3分； ②内部管理保障：每完全满足一个评审标准得1分，满分3分； ③服务成果审核保障：每完全满足一个评审标准得1分，满分3分。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保密廉洁</w:t>
            </w:r>
          </w:p>
        </w:tc>
        <w:tc>
          <w:tcPr>
            <w:tcW w:type="dxa" w:w="2492"/>
          </w:tcPr>
          <w:p>
            <w:pPr>
              <w:pStyle w:val="null3"/>
            </w:pPr>
            <w:r>
              <w:rPr>
                <w:rFonts w:ascii="仿宋_GB2312" w:hAnsi="仿宋_GB2312" w:cs="仿宋_GB2312" w:eastAsia="仿宋_GB2312"/>
              </w:rPr>
              <w:t>一、评审内容： ①保密制度及资料的管理； ②保密管理人员配备； ③廉洁制度及措施。 二、评审标准： 1、完整性：内容全面，对评审内容中的各项要求有详细描述； 2、可行性：切合本标段实际情况，提出步骤清晰的方案； 3、针对性：紧扣项目实际情况需求，内容切实合理。 三、赋分标准：①保密制度及资料的管理：每完全满足一个评审标准得1分，满分3分；②保密管理人员配备：每完全满足一个评审标准得1分，满分3分；③廉洁制度及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组织架构</w:t>
            </w:r>
          </w:p>
        </w:tc>
        <w:tc>
          <w:tcPr>
            <w:tcW w:type="dxa" w:w="2492"/>
          </w:tcPr>
          <w:p>
            <w:pPr>
              <w:pStyle w:val="null3"/>
            </w:pPr>
            <w:r>
              <w:rPr>
                <w:rFonts w:ascii="仿宋_GB2312" w:hAnsi="仿宋_GB2312" w:cs="仿宋_GB2312" w:eastAsia="仿宋_GB2312"/>
              </w:rPr>
              <w:t>1、设立专人负责制，组织架构完整，岗位设置合理、明确，提供拟派团队的组织架构图、岗位分工说明及具体的项目组成员名单的，得5分； 2、组织架构较为完整，岗位设置较为合理，提供拟派团队的组织架构图、岗位分工说明及具体的项目组成员名单的，得4分； 3、组织架构较为完整，岗位设置较为合理，提供拟派团队的组织架构图或岗位分工说明或具体的项目组成员名单的，得3分； 4、组织架构、岗位设置能够基本满足本项目采购要求，提供拟派团队的组织架构图或岗位分工说明或具体的项目组成员名单的得2分； 5、组织架构、岗位设置不够合理的，得1分； 6、无组织架构得0分。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1、项目负责人具有环境类相关专业高级职称的，得3分；中级职称的，得1分；其余不得分。 2、技术负责人具有环境类相关专业高级职称的，得2分；中级职称的，得1分；其余不得分。 3、拟派团队其他成员具有环境类或检验类相关专业中级（或以上）职称的，每提供一人得1分，本项最高得10分。 （以磋商响应文件中职称证书及该成员在供应商供职不少于三个月的相关证明资料，未提供不得分）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后期服务</w:t>
            </w:r>
          </w:p>
        </w:tc>
        <w:tc>
          <w:tcPr>
            <w:tcW w:type="dxa" w:w="2492"/>
          </w:tcPr>
          <w:p>
            <w:pPr>
              <w:pStyle w:val="null3"/>
            </w:pPr>
            <w:r>
              <w:rPr>
                <w:rFonts w:ascii="仿宋_GB2312" w:hAnsi="仿宋_GB2312" w:cs="仿宋_GB2312" w:eastAsia="仿宋_GB2312"/>
              </w:rPr>
              <w:t>具有切实可行的后期支持服务方案及承诺。 1、明确服务范围得1分； 2、方案描述具体可行的得2分，不够具体的得1分； 3、明确响应时间得1分； 4、提供技术服务联系人及联系方式得1分。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年（2022年1月至今，以签订合同时间为准）承担过农业面源或水质调查或检测类项目的，每提供一个业绩得1.5分，本项最高得15分。（以磋商响应文件中合同或合同关键页（必须含内容、签订时间、盖章签字页等信息）加盖公章的扫描件为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商务响应部分.docx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各有效供应商的评审价中，取最终报价最低作为基准价，各有效供应商的价格评分统一按照下列公式计算： 价格评分＝（基准价÷评审价）×价格分分值。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详见附件：法定代表人（或负责人）授权书.docx</w:t>
      </w:r>
    </w:p>
    <w:p>
      <w:pPr>
        <w:pStyle w:val="null3"/>
        <w:ind w:firstLine="960"/>
      </w:pPr>
      <w:r>
        <w:rPr>
          <w:rFonts w:ascii="仿宋_GB2312" w:hAnsi="仿宋_GB2312" w:cs="仿宋_GB2312" w:eastAsia="仿宋_GB2312"/>
        </w:rPr>
        <w:t>详见附件：相关资格证明资料.docx</w:t>
      </w:r>
    </w:p>
    <w:p>
      <w:pPr>
        <w:pStyle w:val="null3"/>
        <w:ind w:firstLine="960"/>
      </w:pPr>
      <w:r>
        <w:rPr>
          <w:rFonts w:ascii="仿宋_GB2312" w:hAnsi="仿宋_GB2312" w:cs="仿宋_GB2312" w:eastAsia="仿宋_GB2312"/>
        </w:rPr>
        <w:t>详见附件：技术响应部分.docx</w:t>
      </w:r>
    </w:p>
    <w:p>
      <w:pPr>
        <w:pStyle w:val="null3"/>
        <w:ind w:firstLine="960"/>
      </w:pPr>
      <w:r>
        <w:rPr>
          <w:rFonts w:ascii="仿宋_GB2312" w:hAnsi="仿宋_GB2312" w:cs="仿宋_GB2312" w:eastAsia="仿宋_GB2312"/>
        </w:rPr>
        <w:t>详见附件：商务响应部分.docx</w:t>
      </w:r>
    </w:p>
    <w:p>
      <w:pPr>
        <w:pStyle w:val="null3"/>
        <w:ind w:firstLine="960"/>
      </w:pPr>
      <w:r>
        <w:rPr>
          <w:rFonts w:ascii="仿宋_GB2312" w:hAnsi="仿宋_GB2312" w:cs="仿宋_GB2312" w:eastAsia="仿宋_GB2312"/>
        </w:rPr>
        <w:t>详见附件：采购供应商拒绝政府采购领域商业贿赂承诺书.docx</w:t>
      </w:r>
    </w:p>
    <w:p>
      <w:pPr>
        <w:pStyle w:val="null3"/>
        <w:ind w:firstLine="960"/>
      </w:pPr>
      <w:r>
        <w:rPr>
          <w:rFonts w:ascii="仿宋_GB2312" w:hAnsi="仿宋_GB2312" w:cs="仿宋_GB2312" w:eastAsia="仿宋_GB2312"/>
        </w:rPr>
        <w:t>详见附件：供应商认为有必要说明的其他事项（如有）.docx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