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版本号：KY2025-1-51320250710001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沣西新城活断层探查技术服务项目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KY2025-1-513</w:t>
      </w:r>
      <w:r>
        <w:br/>
      </w:r>
      <w:r>
        <w:br/>
      </w:r>
      <w:r>
        <w:br/>
      </w:r>
    </w:p>
    <w:p>
      <w:pPr>
        <w:pStyle w:val="null3"/>
        <w:jc w:val="center"/>
        <w:outlineLvl w:val="2"/>
      </w:pPr>
      <w:r>
        <w:rPr>
          <w:rFonts w:ascii="仿宋_GB2312" w:hAnsi="仿宋_GB2312" w:cs="仿宋_GB2312" w:eastAsia="仿宋_GB2312"/>
          <w:sz w:val="28"/>
          <w:b/>
        </w:rPr>
        <w:t>（地震局）地方编制</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（地震局）地方编制</w:t>
      </w:r>
      <w:r>
        <w:rPr>
          <w:rFonts w:ascii="仿宋_GB2312" w:hAnsi="仿宋_GB2312" w:cs="仿宋_GB2312" w:eastAsia="仿宋_GB2312"/>
        </w:rPr>
        <w:t>委托，拟对</w:t>
      </w:r>
      <w:r>
        <w:rPr>
          <w:rFonts w:ascii="仿宋_GB2312" w:hAnsi="仿宋_GB2312" w:cs="仿宋_GB2312" w:eastAsia="仿宋_GB2312"/>
        </w:rPr>
        <w:t>沣西新城活断层探查技术服务项目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沣西新城活断层探查技术服务项目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陕西省地震局沣西新城活断层探查技术服务项目主要运用浅层人工地震勘探和断裂验证钻探剖面探测技术，完成沣西新城目标区内断裂的详查工作。具体内容详见招标文件第3章。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（地震局）地方编制</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陕西省西安市边家村水文巷4号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029-88465376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说明：1、中标单位应在签订合同之前向甲方缴纳履约保证金或提交履约保函，合同存续期间，若中标单位违约，甲方有权予以抵扣。履约保证金于项目通过最终验收后10日内无息返还乙方。 2、履约保证金缴纳形式：中标供应商应当以银行转账、支票、汇票、本票、保函（保险）等非现金形式缴纳。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应依据中标金额向采购代理机构交纳中标服务费，交费金额参照国家计委颁布的《招标代理服务收费管理暂行办法》（计价格[2002]1980号）及发改办价格[2003]857号文件的规定标准下浮40%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（地震局）地方编制</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（地震局）地方编制</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（地震局）地方编制</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沣西新城活断层探测与地震危险性评价项目主要针对沣西新城143平方公里的规划区开展城市活断层探测工作，在查明3条目标断裂发育规模、空间位置和活动习性的基础上，对地震活动断层未来有限时段的地震危险性和危害性进行综合评价，并提供大比例尺活断层分布图。最后，建立沣西新城活断层基础数据库和地理信息系统。为沣西新城政府和相关部门的城市发展规划、土地利用、重大工程选址以及防震减灾提供科学依据，以提高政府对防震减灾的决策效能。 本次拟采购的沣西新城活断层探查技术服务运用浅层人工地震勘探和断裂验证钻探剖面探测技术，完成沣西新城目标区内跨目标断裂77公里浅层人工地震探测剖面和3000m联合钻探地质剖面的断层详查工作，查明断裂的几何结构、产状、宽度、上断点埋深及其在地表的垂直投影位置,为各断层的准确定位、活动性分析和地震危险性评价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3,030,000.00</w:t>
      </w:r>
    </w:p>
    <w:p>
      <w:pPr>
        <w:pStyle w:val="null3"/>
      </w:pPr>
      <w:r>
        <w:rPr>
          <w:rFonts w:ascii="仿宋_GB2312" w:hAnsi="仿宋_GB2312" w:cs="仿宋_GB2312" w:eastAsia="仿宋_GB2312"/>
        </w:rPr>
        <w:t>采购包最高限价（元）: 3,030,000.00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沣西新城活断层探查技术服务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标的名称：沣西新城活断层探查技术服务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、采购内容</w:t>
            </w:r>
          </w:p>
          <w:p>
            <w:pPr>
              <w:pStyle w:val="null3"/>
              <w:ind w:firstLine="480"/>
              <w:jc w:val="both"/>
            </w:pPr>
            <w:r>
              <w:rPr>
                <w:rFonts w:ascii="仿宋_GB2312" w:hAnsi="仿宋_GB2312" w:cs="仿宋_GB2312" w:eastAsia="仿宋_GB2312"/>
                <w:sz w:val="24"/>
              </w:rPr>
              <w:t>运用浅层人工地震勘探和断裂验证钻探剖面探测技术，完成沣西新城目标区内断裂详查工作，查明断裂的几何结构、产状、宽度、上断点埋深及其在地表的垂直投影位置,为各断层的准确定位、活动习性分析和地震危险性评价提供科学依据。</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、工作量及要求</w:t>
            </w:r>
          </w:p>
          <w:p>
            <w:pPr>
              <w:pStyle w:val="null3"/>
              <w:ind w:firstLine="480"/>
              <w:jc w:val="both"/>
            </w:pPr>
            <w:r>
              <w:rPr>
                <w:rFonts w:ascii="仿宋_GB2312" w:hAnsi="仿宋_GB2312" w:cs="仿宋_GB2312" w:eastAsia="仿宋_GB2312"/>
                <w:sz w:val="24"/>
              </w:rPr>
              <w:t>此次浅层人工地震测线分项工作主要位于沣西新城目标区，地貌类型以冲洪积台地、黄土台塬及河流阶地为主。</w:t>
            </w:r>
          </w:p>
          <w:p>
            <w:pPr>
              <w:pStyle w:val="null3"/>
              <w:ind w:firstLine="480"/>
              <w:jc w:val="both"/>
            </w:pPr>
            <w:r>
              <w:rPr>
                <w:rFonts w:ascii="仿宋_GB2312" w:hAnsi="仿宋_GB2312" w:cs="仿宋_GB2312" w:eastAsia="仿宋_GB2312"/>
                <w:sz w:val="24"/>
              </w:rPr>
              <w:t>浅层人工地震测线分为数段，设计总长度约为</w:t>
            </w:r>
            <w:r>
              <w:rPr>
                <w:rFonts w:ascii="仿宋_GB2312" w:hAnsi="仿宋_GB2312" w:cs="仿宋_GB2312" w:eastAsia="仿宋_GB2312"/>
                <w:sz w:val="24"/>
              </w:rPr>
              <w:t>77 km</w:t>
            </w:r>
            <w:r>
              <w:rPr>
                <w:rFonts w:ascii="仿宋_GB2312" w:hAnsi="仿宋_GB2312" w:cs="仿宋_GB2312" w:eastAsia="仿宋_GB2312"/>
                <w:sz w:val="24"/>
              </w:rPr>
              <w:t>，测线具体位置由实地踏勘结果确定。最终工作量以通过验收认定的测线长度为准。</w:t>
            </w:r>
          </w:p>
          <w:p>
            <w:pPr>
              <w:pStyle w:val="null3"/>
              <w:ind w:firstLine="480"/>
              <w:jc w:val="both"/>
            </w:pPr>
            <w:r>
              <w:rPr>
                <w:rFonts w:ascii="仿宋_GB2312" w:hAnsi="仿宋_GB2312" w:cs="仿宋_GB2312" w:eastAsia="仿宋_GB2312"/>
                <w:sz w:val="24"/>
              </w:rPr>
              <w:t>技术参数要求：</w:t>
            </w:r>
          </w:p>
          <w:p>
            <w:pPr>
              <w:pStyle w:val="null3"/>
              <w:numPr>
                <w:ilvl w:val="0"/>
                <w:numId w:val="1"/>
              </w:numPr>
              <w:ind w:left="315"/>
              <w:jc w:val="both"/>
            </w:pPr>
            <w:r>
              <w:rPr>
                <w:rFonts w:ascii="仿宋_GB2312" w:hAnsi="仿宋_GB2312" w:cs="仿宋_GB2312" w:eastAsia="仿宋_GB2312"/>
                <w:sz w:val="24"/>
              </w:rPr>
              <w:t>道间距2～3m，炮间距10～12m；</w:t>
            </w:r>
          </w:p>
          <w:p>
            <w:pPr>
              <w:pStyle w:val="null3"/>
              <w:numPr>
                <w:ilvl w:val="0"/>
                <w:numId w:val="1"/>
              </w:numPr>
              <w:ind w:left="315"/>
              <w:jc w:val="both"/>
            </w:pPr>
            <w:r>
              <w:rPr>
                <w:rFonts w:ascii="仿宋_GB2312" w:hAnsi="仿宋_GB2312" w:cs="仿宋_GB2312" w:eastAsia="仿宋_GB2312"/>
                <w:sz w:val="24"/>
              </w:rPr>
              <w:t>覆盖次数：12～30次；</w:t>
            </w:r>
          </w:p>
          <w:p>
            <w:pPr>
              <w:pStyle w:val="null3"/>
              <w:numPr>
                <w:ilvl w:val="0"/>
                <w:numId w:val="1"/>
              </w:numPr>
              <w:ind w:left="315"/>
              <w:jc w:val="both"/>
            </w:pPr>
            <w:r>
              <w:rPr>
                <w:rFonts w:ascii="仿宋_GB2312" w:hAnsi="仿宋_GB2312" w:cs="仿宋_GB2312" w:eastAsia="仿宋_GB2312"/>
                <w:sz w:val="24"/>
              </w:rPr>
              <w:t>有效接收道数不少于400道；</w:t>
            </w:r>
          </w:p>
          <w:p>
            <w:pPr>
              <w:pStyle w:val="null3"/>
              <w:numPr>
                <w:ilvl w:val="0"/>
                <w:numId w:val="1"/>
              </w:numPr>
              <w:ind w:left="315"/>
              <w:jc w:val="both"/>
            </w:pPr>
            <w:r>
              <w:rPr>
                <w:rFonts w:ascii="仿宋_GB2312" w:hAnsi="仿宋_GB2312" w:cs="仿宋_GB2312" w:eastAsia="仿宋_GB2312"/>
                <w:sz w:val="24"/>
              </w:rPr>
              <w:t>有效探测深度：大于1000m；</w:t>
            </w:r>
          </w:p>
          <w:p>
            <w:pPr>
              <w:pStyle w:val="null3"/>
              <w:numPr>
                <w:ilvl w:val="0"/>
                <w:numId w:val="1"/>
              </w:numPr>
              <w:ind w:left="315"/>
              <w:jc w:val="both"/>
            </w:pPr>
            <w:r>
              <w:rPr>
                <w:rFonts w:ascii="仿宋_GB2312" w:hAnsi="仿宋_GB2312" w:cs="仿宋_GB2312" w:eastAsia="仿宋_GB2312"/>
                <w:sz w:val="24"/>
              </w:rPr>
              <w:t>测线剖面上断点定位精度：5～10m；</w:t>
            </w:r>
          </w:p>
          <w:p>
            <w:pPr>
              <w:pStyle w:val="null3"/>
              <w:numPr>
                <w:ilvl w:val="0"/>
                <w:numId w:val="1"/>
              </w:numPr>
              <w:ind w:left="315"/>
              <w:jc w:val="both"/>
            </w:pPr>
            <w:r>
              <w:rPr>
                <w:rFonts w:ascii="仿宋_GB2312" w:hAnsi="仿宋_GB2312" w:cs="仿宋_GB2312" w:eastAsia="仿宋_GB2312"/>
                <w:sz w:val="24"/>
              </w:rPr>
              <w:t>深度误差：≤8%；</w:t>
            </w:r>
          </w:p>
          <w:p>
            <w:pPr>
              <w:pStyle w:val="null3"/>
              <w:numPr>
                <w:ilvl w:val="0"/>
                <w:numId w:val="1"/>
              </w:numPr>
              <w:ind w:left="315"/>
              <w:jc w:val="both"/>
            </w:pPr>
            <w:r>
              <w:rPr>
                <w:rFonts w:ascii="仿宋_GB2312" w:hAnsi="仿宋_GB2312" w:cs="仿宋_GB2312" w:eastAsia="仿宋_GB2312"/>
                <w:sz w:val="24"/>
              </w:rPr>
              <w:t>激发方式：可控震源（≥28t）激发；</w:t>
            </w:r>
          </w:p>
          <w:p>
            <w:pPr>
              <w:pStyle w:val="null3"/>
              <w:numPr>
                <w:ilvl w:val="0"/>
                <w:numId w:val="1"/>
              </w:numPr>
              <w:ind w:left="315"/>
              <w:jc w:val="both"/>
            </w:pPr>
            <w:r>
              <w:rPr>
                <w:rFonts w:ascii="仿宋_GB2312" w:hAnsi="仿宋_GB2312" w:cs="仿宋_GB2312" w:eastAsia="仿宋_GB2312"/>
                <w:sz w:val="24"/>
              </w:rPr>
              <w:t>接收方式：中间激发双边不对称接收；</w:t>
            </w:r>
          </w:p>
          <w:p>
            <w:pPr>
              <w:pStyle w:val="null3"/>
              <w:ind w:firstLine="480"/>
              <w:jc w:val="both"/>
            </w:pPr>
            <w:r>
              <w:rPr>
                <w:rFonts w:ascii="仿宋_GB2312" w:hAnsi="仿宋_GB2312" w:cs="仿宋_GB2312" w:eastAsia="仿宋_GB2312"/>
                <w:sz w:val="24"/>
              </w:rPr>
              <w:t>各个测线的道间距、跑间距和探测深度等参数需要经过现场试验测线结果确定，以揭露断裂产状效果最好的设计为准。</w:t>
            </w:r>
          </w:p>
          <w:p>
            <w:pPr>
              <w:pStyle w:val="null3"/>
              <w:ind w:firstLine="480"/>
              <w:jc w:val="both"/>
            </w:pPr>
            <w:r>
              <w:rPr>
                <w:rFonts w:ascii="仿宋_GB2312" w:hAnsi="仿宋_GB2312" w:cs="仿宋_GB2312" w:eastAsia="仿宋_GB2312"/>
                <w:sz w:val="24"/>
              </w:rPr>
              <w:t>此次断裂</w:t>
            </w:r>
            <w:r>
              <w:rPr>
                <w:rFonts w:ascii="仿宋_GB2312" w:hAnsi="仿宋_GB2312" w:cs="仿宋_GB2312" w:eastAsia="仿宋_GB2312"/>
                <w:sz w:val="24"/>
              </w:rPr>
              <w:t>验证</w:t>
            </w:r>
            <w:r>
              <w:rPr>
                <w:rFonts w:ascii="仿宋_GB2312" w:hAnsi="仿宋_GB2312" w:cs="仿宋_GB2312" w:eastAsia="仿宋_GB2312"/>
                <w:sz w:val="24"/>
              </w:rPr>
              <w:t>钻孔联合剖面探测分项计划布设多条钻孔联合剖面，每条剖面计划布设</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个钻孔，钻探总进尺约为</w:t>
            </w:r>
            <w:r>
              <w:rPr>
                <w:rFonts w:ascii="仿宋_GB2312" w:hAnsi="仿宋_GB2312" w:cs="仿宋_GB2312" w:eastAsia="仿宋_GB2312"/>
                <w:sz w:val="24"/>
              </w:rPr>
              <w:t>3000m</w:t>
            </w:r>
            <w:r>
              <w:rPr>
                <w:rFonts w:ascii="仿宋_GB2312" w:hAnsi="仿宋_GB2312" w:cs="仿宋_GB2312" w:eastAsia="仿宋_GB2312"/>
                <w:sz w:val="24"/>
              </w:rPr>
              <w:t>，以查明目标断层的产状、几何展布和上断点埋深等信息。</w:t>
            </w:r>
          </w:p>
          <w:p>
            <w:pPr>
              <w:pStyle w:val="null3"/>
              <w:ind w:firstLine="480"/>
              <w:jc w:val="both"/>
            </w:pPr>
            <w:r>
              <w:rPr>
                <w:rFonts w:ascii="仿宋_GB2312" w:hAnsi="仿宋_GB2312" w:cs="仿宋_GB2312" w:eastAsia="仿宋_GB2312"/>
                <w:sz w:val="24"/>
              </w:rPr>
              <w:t>钻探任务与技术要求：</w:t>
            </w:r>
          </w:p>
          <w:p>
            <w:pPr>
              <w:pStyle w:val="null3"/>
              <w:ind w:left="435"/>
              <w:jc w:val="both"/>
            </w:pPr>
            <w:r>
              <w:rPr>
                <w:rFonts w:ascii="仿宋_GB2312" w:hAnsi="仿宋_GB2312" w:cs="仿宋_GB2312" w:eastAsia="仿宋_GB2312"/>
                <w:sz w:val="24"/>
              </w:rPr>
              <w:t>（1）黏土及粉砂芯采取率应达到≥90%，中～细砂应达≥80%，松散粗砂不应小于40%；厚层砾石应采取定深取样法，取样间隔1～2m。</w:t>
            </w:r>
          </w:p>
          <w:p>
            <w:pPr>
              <w:pStyle w:val="null3"/>
              <w:ind w:left="435"/>
              <w:jc w:val="both"/>
            </w:pPr>
            <w:r>
              <w:rPr>
                <w:rFonts w:ascii="仿宋_GB2312" w:hAnsi="仿宋_GB2312" w:cs="仿宋_GB2312" w:eastAsia="仿宋_GB2312"/>
                <w:sz w:val="24"/>
              </w:rPr>
              <w:t>（2）回次进尺1～2m。</w:t>
            </w:r>
          </w:p>
          <w:p>
            <w:pPr>
              <w:pStyle w:val="null3"/>
              <w:ind w:left="435"/>
              <w:jc w:val="both"/>
            </w:pPr>
            <w:r>
              <w:rPr>
                <w:rFonts w:ascii="仿宋_GB2312" w:hAnsi="仿宋_GB2312" w:cs="仿宋_GB2312" w:eastAsia="仿宋_GB2312"/>
                <w:sz w:val="24"/>
              </w:rPr>
              <w:t>（3）自带岩芯箱，所摆岩样要求及时刮去岩样表层泥浆露出原始新鲜面。每个钻孔结束后，对岩样箱中的岩样拍照，并要有深度牌。拍照过程确保光照均匀，拍出的照片岩芯上不能有阴影。</w:t>
            </w:r>
          </w:p>
          <w:p>
            <w:pPr>
              <w:pStyle w:val="null3"/>
              <w:ind w:left="435"/>
              <w:jc w:val="both"/>
            </w:pPr>
            <w:r>
              <w:rPr>
                <w:rFonts w:ascii="仿宋_GB2312" w:hAnsi="仿宋_GB2312" w:cs="仿宋_GB2312" w:eastAsia="仿宋_GB2312"/>
                <w:sz w:val="24"/>
              </w:rPr>
              <w:t>（4）岩芯拍照完成后按要求存放至指定位置，并保存至项目通过野外验收。</w:t>
            </w:r>
          </w:p>
          <w:p>
            <w:pPr>
              <w:pStyle w:val="null3"/>
              <w:ind w:left="435"/>
              <w:jc w:val="both"/>
            </w:pPr>
            <w:r>
              <w:rPr>
                <w:rFonts w:ascii="仿宋_GB2312" w:hAnsi="仿宋_GB2312" w:cs="仿宋_GB2312" w:eastAsia="仿宋_GB2312"/>
                <w:sz w:val="24"/>
              </w:rPr>
              <w:t>（5）钻进时应保持稳定的钻具压力，避免泥浆等杂物渗入造成岩芯污染。</w:t>
            </w:r>
          </w:p>
          <w:p>
            <w:pPr>
              <w:pStyle w:val="null3"/>
              <w:ind w:left="435"/>
              <w:jc w:val="both"/>
            </w:pPr>
            <w:r>
              <w:rPr>
                <w:rFonts w:ascii="仿宋_GB2312" w:hAnsi="仿宋_GB2312" w:cs="仿宋_GB2312" w:eastAsia="仿宋_GB2312"/>
                <w:sz w:val="24"/>
              </w:rPr>
              <w:t>（6）每钻完一个孔，进行标高测量，按比例在方格纸上绘制钻孔柱状图。</w:t>
            </w:r>
          </w:p>
          <w:p>
            <w:pPr>
              <w:pStyle w:val="null3"/>
              <w:ind w:left="435"/>
              <w:jc w:val="both"/>
            </w:pPr>
            <w:r>
              <w:rPr>
                <w:rFonts w:ascii="仿宋_GB2312" w:hAnsi="仿宋_GB2312" w:cs="仿宋_GB2312" w:eastAsia="仿宋_GB2312"/>
                <w:sz w:val="24"/>
              </w:rPr>
              <w:t>（7）本工程钻探期间的工作人员要固定，描述员要持证上岗，且不得中途更换。描述员由甲方指定。</w:t>
            </w:r>
          </w:p>
          <w:p>
            <w:pPr>
              <w:pStyle w:val="null3"/>
              <w:ind w:left="435"/>
              <w:jc w:val="both"/>
            </w:pPr>
            <w:r>
              <w:rPr>
                <w:rFonts w:ascii="仿宋_GB2312" w:hAnsi="仿宋_GB2312" w:cs="仿宋_GB2312" w:eastAsia="仿宋_GB2312"/>
                <w:sz w:val="24"/>
              </w:rPr>
              <w:t>（8）钻孔完成后，乙方要及时填孔。出现纠纷或安全事故由乙方负责。</w:t>
            </w:r>
          </w:p>
          <w:p>
            <w:pPr>
              <w:pStyle w:val="null3"/>
              <w:ind w:left="435"/>
              <w:jc w:val="both"/>
            </w:pPr>
            <w:r>
              <w:rPr>
                <w:rFonts w:ascii="仿宋_GB2312" w:hAnsi="仿宋_GB2312" w:cs="仿宋_GB2312" w:eastAsia="仿宋_GB2312"/>
                <w:sz w:val="24"/>
              </w:rPr>
              <w:t>（9）根据甲方要求取年龄样或其他岩样。</w:t>
            </w:r>
          </w:p>
          <w:p>
            <w:pPr>
              <w:pStyle w:val="null3"/>
              <w:ind w:left="435"/>
              <w:jc w:val="both"/>
            </w:pPr>
            <w:r>
              <w:rPr>
                <w:rFonts w:ascii="仿宋_GB2312" w:hAnsi="仿宋_GB2312" w:cs="仿宋_GB2312" w:eastAsia="仿宋_GB2312"/>
                <w:sz w:val="24"/>
              </w:rPr>
              <w:t>（10）编录要求：</w:t>
            </w:r>
          </w:p>
          <w:p>
            <w:pPr>
              <w:pStyle w:val="null3"/>
              <w:ind w:firstLine="480"/>
              <w:jc w:val="both"/>
            </w:pPr>
            <w:r>
              <w:rPr>
                <w:rFonts w:ascii="仿宋_GB2312" w:hAnsi="仿宋_GB2312" w:cs="仿宋_GB2312" w:eastAsia="仿宋_GB2312"/>
                <w:sz w:val="24"/>
              </w:rPr>
              <w:t>编录按回次进行，同时填写原始班报表。岩芯分层确切，数据准确，资料完整。根据钻孔岩芯反映的岩性、颜色、物质组成、沉积结构和接触界面形态等确定基本编录单元，进行图文描述。内容应包括：</w:t>
            </w:r>
          </w:p>
          <w:p>
            <w:pPr>
              <w:pStyle w:val="null3"/>
              <w:numPr>
                <w:ilvl w:val="0"/>
                <w:numId w:val="1"/>
              </w:numPr>
              <w:ind w:left="315"/>
              <w:jc w:val="both"/>
            </w:pPr>
            <w:r>
              <w:rPr>
                <w:rFonts w:ascii="仿宋_GB2312" w:hAnsi="仿宋_GB2312" w:cs="仿宋_GB2312" w:eastAsia="仿宋_GB2312"/>
                <w:sz w:val="24"/>
              </w:rPr>
              <w:t>分层层序、厚度、深度；</w:t>
            </w:r>
          </w:p>
          <w:p>
            <w:pPr>
              <w:pStyle w:val="null3"/>
              <w:numPr>
                <w:ilvl w:val="0"/>
                <w:numId w:val="1"/>
              </w:numPr>
              <w:ind w:left="315"/>
              <w:jc w:val="both"/>
            </w:pPr>
            <w:r>
              <w:rPr>
                <w:rFonts w:ascii="仿宋_GB2312" w:hAnsi="仿宋_GB2312" w:cs="仿宋_GB2312" w:eastAsia="仿宋_GB2312"/>
                <w:sz w:val="24"/>
              </w:rPr>
              <w:t>颜色；</w:t>
            </w:r>
          </w:p>
          <w:p>
            <w:pPr>
              <w:pStyle w:val="null3"/>
              <w:numPr>
                <w:ilvl w:val="0"/>
                <w:numId w:val="1"/>
              </w:numPr>
              <w:ind w:left="315"/>
              <w:jc w:val="both"/>
            </w:pPr>
            <w:r>
              <w:rPr>
                <w:rFonts w:ascii="仿宋_GB2312" w:hAnsi="仿宋_GB2312" w:cs="仿宋_GB2312" w:eastAsia="仿宋_GB2312"/>
                <w:sz w:val="24"/>
              </w:rPr>
              <w:t>粒度及不同粒度成分的百分比含量；</w:t>
            </w:r>
          </w:p>
          <w:p>
            <w:pPr>
              <w:pStyle w:val="null3"/>
              <w:numPr>
                <w:ilvl w:val="0"/>
                <w:numId w:val="1"/>
              </w:numPr>
              <w:ind w:left="315"/>
              <w:jc w:val="both"/>
            </w:pPr>
            <w:r>
              <w:rPr>
                <w:rFonts w:ascii="仿宋_GB2312" w:hAnsi="仿宋_GB2312" w:cs="仿宋_GB2312" w:eastAsia="仿宋_GB2312"/>
                <w:sz w:val="24"/>
              </w:rPr>
              <w:t>碎屑成分、形态与磨圆度；</w:t>
            </w:r>
          </w:p>
          <w:p>
            <w:pPr>
              <w:pStyle w:val="null3"/>
              <w:numPr>
                <w:ilvl w:val="0"/>
                <w:numId w:val="1"/>
              </w:numPr>
              <w:ind w:left="315"/>
              <w:jc w:val="both"/>
            </w:pPr>
            <w:r>
              <w:rPr>
                <w:rFonts w:ascii="仿宋_GB2312" w:hAnsi="仿宋_GB2312" w:cs="仿宋_GB2312" w:eastAsia="仿宋_GB2312"/>
                <w:sz w:val="24"/>
              </w:rPr>
              <w:t>地层胶结程度；</w:t>
            </w:r>
          </w:p>
          <w:p>
            <w:pPr>
              <w:pStyle w:val="null3"/>
              <w:numPr>
                <w:ilvl w:val="0"/>
                <w:numId w:val="1"/>
              </w:numPr>
              <w:ind w:left="315"/>
              <w:jc w:val="both"/>
            </w:pPr>
            <w:r>
              <w:rPr>
                <w:rFonts w:ascii="仿宋_GB2312" w:hAnsi="仿宋_GB2312" w:cs="仿宋_GB2312" w:eastAsia="仿宋_GB2312"/>
                <w:sz w:val="24"/>
              </w:rPr>
              <w:t>层理结构特征；</w:t>
            </w:r>
          </w:p>
          <w:p>
            <w:pPr>
              <w:pStyle w:val="null3"/>
              <w:numPr>
                <w:ilvl w:val="0"/>
                <w:numId w:val="1"/>
              </w:numPr>
              <w:ind w:left="315"/>
              <w:jc w:val="both"/>
            </w:pPr>
            <w:r>
              <w:rPr>
                <w:rFonts w:ascii="仿宋_GB2312" w:hAnsi="仿宋_GB2312" w:cs="仿宋_GB2312" w:eastAsia="仿宋_GB2312"/>
                <w:sz w:val="24"/>
              </w:rPr>
              <w:t>矿物结核和动植物化石；</w:t>
            </w:r>
          </w:p>
          <w:p>
            <w:pPr>
              <w:pStyle w:val="null3"/>
              <w:numPr>
                <w:ilvl w:val="0"/>
                <w:numId w:val="1"/>
              </w:numPr>
              <w:ind w:left="315"/>
              <w:jc w:val="both"/>
            </w:pPr>
            <w:r>
              <w:rPr>
                <w:rFonts w:ascii="仿宋_GB2312" w:hAnsi="仿宋_GB2312" w:cs="仿宋_GB2312" w:eastAsia="仿宋_GB2312"/>
                <w:sz w:val="24"/>
              </w:rPr>
              <w:t>分层接触关系；</w:t>
            </w:r>
          </w:p>
          <w:p>
            <w:pPr>
              <w:pStyle w:val="null3"/>
              <w:numPr>
                <w:ilvl w:val="0"/>
                <w:numId w:val="1"/>
              </w:numPr>
              <w:ind w:left="315"/>
              <w:jc w:val="both"/>
            </w:pPr>
            <w:r>
              <w:rPr>
                <w:rFonts w:ascii="仿宋_GB2312" w:hAnsi="仿宋_GB2312" w:cs="仿宋_GB2312" w:eastAsia="仿宋_GB2312"/>
                <w:sz w:val="24"/>
              </w:rPr>
              <w:t>快速异常堆积层（地震事件层），如松散团块结构层、物质组成与上下不协调突变层等；</w:t>
            </w:r>
          </w:p>
          <w:p>
            <w:pPr>
              <w:pStyle w:val="null3"/>
              <w:numPr>
                <w:ilvl w:val="0"/>
                <w:numId w:val="1"/>
              </w:numPr>
              <w:ind w:left="315"/>
              <w:jc w:val="both"/>
            </w:pPr>
            <w:r>
              <w:rPr>
                <w:rFonts w:ascii="仿宋_GB2312" w:hAnsi="仿宋_GB2312" w:cs="仿宋_GB2312" w:eastAsia="仿宋_GB2312"/>
                <w:sz w:val="24"/>
              </w:rPr>
              <w:t>年龄样品采集的位置、类型及其编号。</w:t>
            </w:r>
          </w:p>
          <w:p>
            <w:pPr>
              <w:pStyle w:val="null3"/>
              <w:ind w:left="435"/>
              <w:jc w:val="both"/>
            </w:pPr>
            <w:r>
              <w:rPr>
                <w:rFonts w:ascii="仿宋_GB2312" w:hAnsi="仿宋_GB2312" w:cs="仿宋_GB2312" w:eastAsia="仿宋_GB2312"/>
                <w:sz w:val="24"/>
              </w:rPr>
              <w:t>3</w:t>
            </w:r>
            <w:r>
              <w:rPr>
                <w:rFonts w:ascii="仿宋_GB2312" w:hAnsi="仿宋_GB2312" w:cs="仿宋_GB2312" w:eastAsia="仿宋_GB2312"/>
                <w:sz w:val="24"/>
              </w:rPr>
              <w:t>、成果要求</w:t>
            </w:r>
          </w:p>
          <w:p>
            <w:pPr>
              <w:pStyle w:val="null3"/>
              <w:ind w:firstLine="480"/>
              <w:jc w:val="both"/>
            </w:pPr>
            <w:r>
              <w:rPr>
                <w:rFonts w:ascii="仿宋_GB2312" w:hAnsi="仿宋_GB2312" w:cs="仿宋_GB2312" w:eastAsia="仿宋_GB2312"/>
                <w:sz w:val="24"/>
              </w:rPr>
              <w:t>浅层人工地震探测分项成果包括专题报告、测线剖面深度域sgy数据、推测断裂上断点位置空间信息和浅层人工地震探测原始剖面及解译剖面高清图。</w:t>
            </w:r>
          </w:p>
          <w:p>
            <w:pPr>
              <w:pStyle w:val="null3"/>
              <w:ind w:firstLine="480"/>
              <w:jc w:val="both"/>
            </w:pPr>
            <w:r>
              <w:rPr>
                <w:rFonts w:ascii="仿宋_GB2312" w:hAnsi="仿宋_GB2312" w:cs="仿宋_GB2312" w:eastAsia="仿宋_GB2312"/>
                <w:sz w:val="24"/>
              </w:rPr>
              <w:t>断裂验证钻孔联合剖面探测分项在每个钻孔完成后，乙方应当天向甲方提交钻探施工原始资料(钻探现场记录，岩样数码照片，成孔孔位经纬度和孔间距数据)。完成钻探施工后，向甲方提交整理好的所有钻孔岩芯照片以及电子版钻孔柱状图。在钻探剖面完成后，乙方应及时绘制钻孔联合剖面图。</w:t>
            </w:r>
          </w:p>
          <w:p>
            <w:pPr>
              <w:pStyle w:val="null3"/>
              <w:ind w:firstLine="480"/>
              <w:jc w:val="both"/>
            </w:pPr>
            <w:r>
              <w:rPr>
                <w:rFonts w:ascii="仿宋_GB2312" w:hAnsi="仿宋_GB2312" w:cs="仿宋_GB2312" w:eastAsia="仿宋_GB2312"/>
                <w:sz w:val="24"/>
              </w:rPr>
              <w:t>现场工作完成后，由乙方负责编制相关技术报告并送审验收。</w:t>
            </w:r>
          </w:p>
          <w:p>
            <w:pPr>
              <w:pStyle w:val="null3"/>
              <w:ind w:left="435"/>
              <w:jc w:val="both"/>
            </w:pPr>
            <w:r>
              <w:rPr>
                <w:rFonts w:ascii="仿宋_GB2312" w:hAnsi="仿宋_GB2312" w:cs="仿宋_GB2312" w:eastAsia="仿宋_GB2312"/>
                <w:sz w:val="24"/>
              </w:rPr>
              <w:t>4</w:t>
            </w:r>
            <w:r>
              <w:rPr>
                <w:rFonts w:ascii="仿宋_GB2312" w:hAnsi="仿宋_GB2312" w:cs="仿宋_GB2312" w:eastAsia="仿宋_GB2312"/>
                <w:sz w:val="24"/>
              </w:rPr>
              <w:t>、完成时间及进度</w:t>
            </w:r>
          </w:p>
          <w:p>
            <w:pPr>
              <w:pStyle w:val="null3"/>
              <w:ind w:firstLine="480"/>
              <w:jc w:val="both"/>
            </w:pPr>
            <w:r>
              <w:rPr>
                <w:rFonts w:ascii="仿宋_GB2312" w:hAnsi="仿宋_GB2312" w:cs="仿宋_GB2312" w:eastAsia="仿宋_GB2312"/>
                <w:sz w:val="24"/>
              </w:rPr>
              <w:t>合同生效后，甲方于开工前5天通知中标单位进场施工，现场工作结束后一个月内完成剖面的室内资料处理及10份供验收使用的专题成果报告。报告通过验收后15日内提交10份经过修改后的最终报告、相关图件及电子版光盘2套。</w:t>
            </w:r>
          </w:p>
          <w:p>
            <w:pPr>
              <w:pStyle w:val="null3"/>
              <w:ind w:firstLine="480"/>
              <w:jc w:val="both"/>
            </w:pPr>
            <w:r>
              <w:rPr>
                <w:rFonts w:ascii="仿宋_GB2312" w:hAnsi="仿宋_GB2312" w:cs="仿宋_GB2312" w:eastAsia="仿宋_GB2312"/>
                <w:sz w:val="24"/>
              </w:rPr>
              <w:t>最终报告及相关成果提交截止日期为2025年11月20日。</w:t>
            </w:r>
          </w:p>
          <w:p>
            <w:pPr>
              <w:pStyle w:val="null3"/>
              <w:ind w:left="435"/>
              <w:jc w:val="both"/>
            </w:pPr>
            <w:r>
              <w:rPr>
                <w:rFonts w:ascii="仿宋_GB2312" w:hAnsi="仿宋_GB2312" w:cs="仿宋_GB2312" w:eastAsia="仿宋_GB2312"/>
                <w:sz w:val="24"/>
              </w:rPr>
              <w:t>5</w:t>
            </w:r>
            <w:r>
              <w:rPr>
                <w:rFonts w:ascii="仿宋_GB2312" w:hAnsi="仿宋_GB2312" w:cs="仿宋_GB2312" w:eastAsia="仿宋_GB2312"/>
                <w:sz w:val="24"/>
              </w:rPr>
              <w:t>、人员及其他要求</w:t>
            </w:r>
          </w:p>
          <w:p>
            <w:pPr>
              <w:pStyle w:val="null3"/>
              <w:ind w:firstLine="482"/>
              <w:jc w:val="both"/>
            </w:pPr>
            <w:r>
              <w:rPr>
                <w:rFonts w:ascii="仿宋_GB2312" w:hAnsi="仿宋_GB2312" w:cs="仿宋_GB2312" w:eastAsia="仿宋_GB2312"/>
                <w:sz w:val="24"/>
              </w:rPr>
              <w:t>参与本项目的乙方需在开工之前对施工方案的设计线路进行现场踏勘，如需线路变更时须经甲方同意方可执行。现场施工期间的人员安全保障、外业协调工作和赔偿等事项均由乙方全权负责解决。</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服务期限：合同签订之日起至2025年11月20日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陕西省地震局指定地点。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合同签订后，乙方向甲方缴纳合同总价10%的履约保证金，甲方收到履约保证金后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项目完成现场工作经监理确认合格后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项目成果通过野外验收后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1073273918@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服务内容及服务要求应答表.docx 投标人承诺书.docx 监狱企业的证明文件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服务内容及服务要求应答表.docx 投标人承诺书.docx 监狱企业的证明文件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投标函 中小企业声明函 残疾人福利性单位声明函 报价表、分项报价表.docx 保证金交纳凭证.docx 标的清单 投标文件封面 服务内容及服务要求应答表.docx 投标人承诺书.docx 监狱企业的证明文件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项目需求分析应对</w:t>
            </w:r>
          </w:p>
        </w:tc>
        <w:tc>
          <w:tcPr>
            <w:tcW w:type="dxa" w:w="2492"/>
          </w:tcPr>
          <w:p>
            <w:pPr>
              <w:pStyle w:val="null3"/>
            </w:pPr>
            <w:r>
              <w:rPr>
                <w:rFonts w:ascii="仿宋_GB2312" w:hAnsi="仿宋_GB2312" w:cs="仿宋_GB2312" w:eastAsia="仿宋_GB2312"/>
              </w:rPr>
              <w:t>投标人针对本项目采购需求有充分理解与认识，对项目重点、难点分析透彻并能够提出解决方案，内容至少包含：①项目需求理解；②重点、难点分析；③解决办法；④应对措施。 评审标准：项目需求理解各部分内容全面完整、阐述条理清晰详尽、符合本项目采购需求计10分，每缺少一项内容扣2.5分，每有一项内容存在缺陷扣1.0分，扣完为止。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投标人应充分考虑采购人的实际需求，断裂详查工作采取措施具体、有效，能够保证项目安全、提高项目质量；施工段划分呼应总体表述，划分清晰，符合规范要求，提供整体实施方案，内容至少包含： ①服务内容；②服务方案；③工作流程；④工作思路及目标；⑤专业设备配备。 评审标准：总体服务方案各部分内容全面详细、阐述条理清晰详尽、符合本项目采购需求计15分，每缺一项内容扣3分，每有一项内容存在缺陷扣1.5分，扣完为止。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投标人针对本项目提供管理制度，内容至少包含：①质量控制制度；②档案管理制度；③风险控制制度；④应急处理预案等。 评审标准：管理制度各部分内容全面详细、阐述条理清晰详尽、符合本项目采购需求计8分，每缺一项内容扣2分，每有一项内容存在缺陷扣1分，扣完为止。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投标人针对本项目提供质量保障措施，对断裂详查工作质量保证措施有深入的表述，内容至少包含：①质量目标；②质量保障措施；③成果文件质量控制措施等。 评审标准：质量保障措施各部分内容全面详细、阐述条理清晰详尽、符合本项目采购需求计6分，每缺一项内容扣2分，每有一项内容存在缺陷扣1分，扣完为止。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投标人针对本项目提供进度保证措施，内容至少包含：①总体实施进度安排；②进度保障措施。 评审标准：进度保证措施各部分内容全面详细、阐述条理清晰详尽、符合本项目采购需求计6分，每缺一项内容扣3分，每有一项内容存在缺陷扣1.5分，扣完为止。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投标人针对本项目提供服务人员的配备情况，内容至少包含：①人员配备数量及清单；②人员职责与分工明确；③人员专业性及工作经验。 评审标准：项目团队配置各部分内容全面详细、阐述条理清晰详尽、符合本项目采购需求计9分，每缺一项内容扣3分，每有一项内容存在缺陷扣1.5分，扣完为止。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①拟派项目负责人具有与本项目相关的副高级以上技术职称，计2分，没有不计分； ②拟派项目负责人承担过2020年6月1日至今类似项目，每提供1个计2分，最高计6分。 注：①提供以上人员相关证书及与投标人存在合法劳动关系的证明；②提供承担过类似项目证明材料扫描件并加盖投标人公章，未按上述要求提供不计分。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投标人针对本项目提供服务承诺，内容至少包含：①售后服务措施及承诺；②项目实施及协调过程中响应时效承诺；③与采购人积极配合及按采购人要求改进工作等承诺。 评审标准：服务承诺各部分内容全面详细、阐述条理清晰详尽、符合本项目采购需求计6分，每缺一项内容扣2分，每有一项内容存在缺陷扣1分，扣完为止。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投标人针对本项目实施提出具体可行的合理化建议。 评审标准： 1.完整性:方案必须全面，对评审内容中的各项要求有详细描述； 2.可实施性:切合本项目实际情况，提出清晰、合理的方案； 3.针对性:方案能够紧扣项目实际情况，内容科学合理。 赋分依据：每完全满足一个评审标准得2分，满分6分。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投标人提供2020年6月1日至今（以合同签订时间为准）类似项目业绩，每提供1项计2分，最高6分。 备注：提供业绩资料扫描件并加盖投标人公章。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