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版本号：JJX-2025-01420250618001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医疗防疫监区室内改造工程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JJX-2025-014</w:t>
      </w:r>
      <w:r>
        <w:br/>
      </w:r>
      <w:r>
        <w:br/>
      </w:r>
      <w:r>
        <w:br/>
      </w:r>
    </w:p>
    <w:p>
      <w:pPr>
        <w:pStyle w:val="null3"/>
        <w:jc w:val="center"/>
        <w:outlineLvl w:val="2"/>
      </w:pPr>
      <w:r>
        <w:rPr>
          <w:rFonts w:ascii="仿宋_GB2312" w:hAnsi="仿宋_GB2312" w:cs="仿宋_GB2312" w:eastAsia="仿宋_GB2312"/>
          <w:sz w:val="28"/>
          <w:b/>
        </w:rPr>
        <w:t>陕西省渭南监狱</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陕西省渭南监狱</w:t>
      </w:r>
      <w:r>
        <w:rPr>
          <w:rFonts w:ascii="仿宋_GB2312" w:hAnsi="仿宋_GB2312" w:cs="仿宋_GB2312" w:eastAsia="仿宋_GB2312"/>
        </w:rPr>
        <w:t>委托，拟对</w:t>
      </w:r>
      <w:r>
        <w:rPr>
          <w:rFonts w:ascii="仿宋_GB2312" w:hAnsi="仿宋_GB2312" w:cs="仿宋_GB2312" w:eastAsia="仿宋_GB2312"/>
        </w:rPr>
        <w:t>医疗防疫监区室内改造工程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医疗防疫监区室内改造工程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陕西省渭南监狱医疗防疫监区室内改造工程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采购包1（医疗防疫监区室内改造工程）：属于专门面向中小企业采购。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1、供应商基本情况：供应商应具备独立承担民事责任的能力：提供法人或者其他组织的营业执照等证明文件，自然人的身份证明。</w:t>
      </w:r>
    </w:p>
    <w:p>
      <w:pPr>
        <w:pStyle w:val="null3"/>
      </w:pPr>
      <w:r>
        <w:rPr>
          <w:rFonts w:ascii="仿宋_GB2312" w:hAnsi="仿宋_GB2312" w:cs="仿宋_GB2312" w:eastAsia="仿宋_GB2312"/>
        </w:rPr>
        <w:t>2、财务状况报告：提供2024年度具有财务审计资质单位出具供应商完整财务报告（成立时间至开标时间不足一年的可提供成立后任意时段的资产负债表）或2024年11月1日至今其基本账户银行出具的资信证明或政府采购信用担保机构出具的担保函</w:t>
      </w:r>
    </w:p>
    <w:p>
      <w:pPr>
        <w:pStyle w:val="null3"/>
      </w:pPr>
      <w:r>
        <w:rPr>
          <w:rFonts w:ascii="仿宋_GB2312" w:hAnsi="仿宋_GB2312" w:cs="仿宋_GB2312" w:eastAsia="仿宋_GB2312"/>
        </w:rPr>
        <w:t>3、法人证明或法人授权委托书：提供法定代表人授权委托书，附法定代表人、被授权人身份证复印件；法定代表人直接参加投标，须提供法定代表人身份证明。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4、税收及社会保障资金缴纳证明：有依法缴纳税收和社会保障资金的良好记录：提供2024年5月份至今任意一个月依法缴纳税收和社会保障资金的相关材料。</w:t>
      </w:r>
    </w:p>
    <w:p>
      <w:pPr>
        <w:pStyle w:val="null3"/>
      </w:pPr>
      <w:r>
        <w:rPr>
          <w:rFonts w:ascii="仿宋_GB2312" w:hAnsi="仿宋_GB2312" w:cs="仿宋_GB2312" w:eastAsia="仿宋_GB2312"/>
        </w:rPr>
        <w:t>5、合同履约能力：提供具有履行合同所必需的设备和专业技术能力的承诺。</w:t>
      </w:r>
    </w:p>
    <w:p>
      <w:pPr>
        <w:pStyle w:val="null3"/>
      </w:pPr>
      <w:r>
        <w:rPr>
          <w:rFonts w:ascii="仿宋_GB2312" w:hAnsi="仿宋_GB2312" w:cs="仿宋_GB2312" w:eastAsia="仿宋_GB2312"/>
        </w:rPr>
        <w:t>6、没有重大违法记录的书面说明：参加政府采购活动前3年内，在经营活动中没有重大违法记录的书面声明。</w:t>
      </w:r>
    </w:p>
    <w:p>
      <w:pPr>
        <w:pStyle w:val="null3"/>
      </w:pPr>
      <w:r>
        <w:rPr>
          <w:rFonts w:ascii="仿宋_GB2312" w:hAnsi="仿宋_GB2312" w:cs="仿宋_GB2312" w:eastAsia="仿宋_GB2312"/>
        </w:rPr>
        <w:t>7、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8、供应商企业关系关联承诺书：供应商单位负责人为同一人或者存在直接控股、管理关系的不同供应商，不得参加同一合同项下的政府采购活动。</w:t>
      </w:r>
    </w:p>
    <w:p>
      <w:pPr>
        <w:pStyle w:val="null3"/>
      </w:pPr>
      <w:r>
        <w:rPr>
          <w:rFonts w:ascii="仿宋_GB2312" w:hAnsi="仿宋_GB2312" w:cs="仿宋_GB2312" w:eastAsia="仿宋_GB2312"/>
        </w:rPr>
        <w:t>9、企业资质：供应商须具备建设行政主管部门颁发的建筑工程施工总承包三级及以上（含三级）资质或建筑装修装饰工程专业承包二级及以上（含二级）资质，并具有有效的安全生产许可证；</w:t>
      </w:r>
    </w:p>
    <w:p>
      <w:pPr>
        <w:pStyle w:val="null3"/>
      </w:pPr>
      <w:r>
        <w:rPr>
          <w:rFonts w:ascii="仿宋_GB2312" w:hAnsi="仿宋_GB2312" w:cs="仿宋_GB2312" w:eastAsia="仿宋_GB2312"/>
        </w:rPr>
        <w:t>10、项目负责人：拟派项目经理须具有建筑工程专业二级及以上（含二级）注册建造师资格证书同时具备安全生产考核合格证且无在建工程（提供无在建承诺书）；</w:t>
      </w:r>
    </w:p>
    <w:p>
      <w:pPr>
        <w:pStyle w:val="null3"/>
      </w:pPr>
      <w:r>
        <w:rPr>
          <w:rFonts w:ascii="仿宋_GB2312" w:hAnsi="仿宋_GB2312" w:cs="仿宋_GB2312" w:eastAsia="仿宋_GB2312"/>
        </w:rPr>
        <w:t>11、平台查询：供应商及项目经理基本信息在“陕西省建筑市场监管与诚信信息发布平台”可查询；</w:t>
      </w:r>
    </w:p>
    <w:p>
      <w:pPr>
        <w:pStyle w:val="null3"/>
      </w:pPr>
      <w:r>
        <w:rPr>
          <w:rFonts w:ascii="仿宋_GB2312" w:hAnsi="仿宋_GB2312" w:cs="仿宋_GB2312" w:eastAsia="仿宋_GB2312"/>
        </w:rPr>
        <w:t>12、中小微企业声明函：提供中小微企业声明函。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19991661171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西安市雁塔区曲江新区谛杰国际广场5层2室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15291347042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代理服务费收费标准：参照国家计委“计价格〔2002〕1980号”《关于印发《招标代理服务收费管理暂行办法》的通知》收费标准下浮30%向招标代理机构一次性支付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陕西省渭南监狱</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联系电话：15291347042</w:t>
      </w:r>
    </w:p>
    <w:p>
      <w:pPr>
        <w:pStyle w:val="null3"/>
      </w:pPr>
      <w:r>
        <w:rPr>
          <w:rFonts w:ascii="仿宋_GB2312" w:hAnsi="仿宋_GB2312" w:cs="仿宋_GB2312" w:eastAsia="仿宋_GB2312"/>
        </w:rPr>
        <w:t>地址：西安市雁塔区曲江新区谛杰国际广场5层2室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2,030,000.00</w:t>
      </w:r>
    </w:p>
    <w:p>
      <w:pPr>
        <w:pStyle w:val="null3"/>
      </w:pPr>
      <w:r>
        <w:rPr>
          <w:rFonts w:ascii="仿宋_GB2312" w:hAnsi="仿宋_GB2312" w:cs="仿宋_GB2312" w:eastAsia="仿宋_GB2312"/>
        </w:rPr>
        <w:t>采购包最高限价（元）: 2,029,586.14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医疗防疫监区室内改造工程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标的名称：医疗防疫监区室内改造工程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 xml:space="preserve">   一、工程概况</w:t>
            </w:r>
          </w:p>
          <w:p>
            <w:pPr>
              <w:pStyle w:val="null3"/>
              <w:jc w:val="left"/>
            </w:pPr>
            <w:r>
              <w:rPr>
                <w:rFonts w:ascii="仿宋_GB2312" w:hAnsi="仿宋_GB2312" w:cs="仿宋_GB2312" w:eastAsia="仿宋_GB2312"/>
                <w:sz w:val="24"/>
              </w:rPr>
              <w:t>该项目主要对陕西省渭南监狱医疗防疫监区室内进行改造。具体建设内容详见工程量清单。</w:t>
            </w:r>
          </w:p>
          <w:p>
            <w:pPr>
              <w:pStyle w:val="null3"/>
              <w:ind w:firstLine="400"/>
              <w:jc w:val="both"/>
            </w:pPr>
            <w:r>
              <w:rPr>
                <w:rFonts w:ascii="仿宋_GB2312" w:hAnsi="仿宋_GB2312" w:cs="仿宋_GB2312" w:eastAsia="仿宋_GB2312"/>
                <w:sz w:val="24"/>
              </w:rPr>
              <w:t>二、工程量清单（见附件）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验收规范质量验收统一标准》、《建筑装饰装修工程质量验收标准》和《房屋建筑工程质量保修办法》（建设部令第80号）以及相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(1)本项目计划工期:90日历天。(2)合同履约地点:陕西省渭南监狱。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单位出具供应商完整财务报告（成立时间至开标时间不足一年的可提供成立后任意时段的资产负债表）或2024年11月1日至今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单位出具供应商完整财务报告（成立时间至开标时间不足一年的可提供成立后任意时段的资产负债表）或2024年11月1日至今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有依法缴纳税收和社会保障资金的良好记录：提供2024年5月份至今任意一个月依法缴纳税收和社会保障资金的相关材料。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供应商须具备建设行政主管部门颁发的建筑工程施工总承包三级及以上（含三级）资质或建筑装修装饰工程专业承包二级及以上（含二级）资质，并具有有效的安全生产许可证；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拟派项目经理须具有建筑工程专业二级及以上（含二级）注册建造师资格证书同时具备安全生产考核合格证且无在建工程（提供无在建承诺书）；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平台查询</w:t>
            </w:r>
          </w:p>
        </w:tc>
        <w:tc>
          <w:tcPr>
            <w:tcW w:type="dxa" w:w="3322"/>
          </w:tcPr>
          <w:p>
            <w:pPr>
              <w:pStyle w:val="null3"/>
            </w:pPr>
            <w:r>
              <w:rPr>
                <w:rFonts w:ascii="仿宋_GB2312" w:hAnsi="仿宋_GB2312" w:cs="仿宋_GB2312" w:eastAsia="仿宋_GB2312"/>
              </w:rPr>
              <w:t>供应商及项目经理基本信息在“陕西省建筑市场监管与诚信信息发布平台”可查询；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中小微企业声明函</w:t>
            </w:r>
          </w:p>
        </w:tc>
        <w:tc>
          <w:tcPr>
            <w:tcW w:type="dxa" w:w="3322"/>
          </w:tcPr>
          <w:p>
            <w:pPr>
              <w:pStyle w:val="null3"/>
            </w:pPr>
            <w:r>
              <w:rPr>
                <w:rFonts w:ascii="仿宋_GB2312" w:hAnsi="仿宋_GB2312" w:cs="仿宋_GB2312" w:eastAsia="仿宋_GB2312"/>
              </w:rPr>
              <w:t>提供中小微企业声明函。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商务要求响应表.docx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根据供应商提供的施工部署或总平面布置赋分，完全满足本项目实际需求得4分,基本满足本项目需求得3分，基本满足但完整性和可操作性欠缺得2分，不满足本项目需求根据情况得1分。未提供不得分。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w:t>
            </w:r>
          </w:p>
        </w:tc>
        <w:tc>
          <w:tcPr>
            <w:tcW w:type="dxa" w:w="2492"/>
          </w:tcPr>
          <w:p>
            <w:pPr>
              <w:pStyle w:val="null3"/>
            </w:pPr>
            <w:r>
              <w:rPr>
                <w:rFonts w:ascii="仿宋_GB2312" w:hAnsi="仿宋_GB2312" w:cs="仿宋_GB2312" w:eastAsia="仿宋_GB2312"/>
              </w:rPr>
              <w:t>根据供应商提供的劳动力安排计划安排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6分，基本满足项目需求得5分,基本满足但完整性和可操作性欠缺得3分，内容欠缺，较难实施、不满足项目需求或非专门针对本项目、不适用本项目特性、套用其他項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成品保证体系及措施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内容欠缺，较难实施、不满足项目需求或非专门针对本项目，不适用本项目特性、套用其他项目内容，不利于采购目标的实现根据情况得1分。未提供不得分。响应文件包含对本项目质量保障，后期维护管理及发生质量问题后的补救措施，有明确具体的承诺,切实可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根据响应情况赋分，完全满足项目实际需求得5分，基本满足项目需求得4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