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BC63C2">
      <w:pPr>
        <w:adjustRightInd w:val="0"/>
        <w:snapToGrid w:val="0"/>
        <w:spacing w:line="360" w:lineRule="auto"/>
        <w:jc w:val="center"/>
        <w:rPr>
          <w:rFonts w:ascii="宋体" w:hAnsi="宋体" w:eastAsia="宋体" w:cs="宋体"/>
          <w:b/>
          <w:bCs/>
          <w:sz w:val="48"/>
          <w:szCs w:val="48"/>
        </w:rPr>
      </w:pPr>
    </w:p>
    <w:p w14:paraId="351DEF2D">
      <w:pPr>
        <w:adjustRightInd w:val="0"/>
        <w:snapToGrid w:val="0"/>
        <w:spacing w:line="360" w:lineRule="auto"/>
        <w:jc w:val="center"/>
        <w:rPr>
          <w:rFonts w:ascii="宋体" w:hAnsi="宋体" w:eastAsia="宋体" w:cs="宋体"/>
          <w:b/>
          <w:bCs/>
          <w:sz w:val="44"/>
          <w:szCs w:val="44"/>
        </w:rPr>
      </w:pPr>
      <w:r>
        <w:rPr>
          <w:rFonts w:hint="eastAsia" w:ascii="宋体" w:hAnsi="宋体" w:eastAsia="宋体" w:cs="宋体"/>
          <w:b/>
          <w:bCs/>
          <w:sz w:val="44"/>
          <w:szCs w:val="44"/>
        </w:rPr>
        <w:t>西安工程大学金花、临潼两校区和家属区</w:t>
      </w:r>
    </w:p>
    <w:p w14:paraId="348B0B5F">
      <w:pPr>
        <w:adjustRightInd w:val="0"/>
        <w:snapToGrid w:val="0"/>
        <w:spacing w:line="360" w:lineRule="auto"/>
        <w:jc w:val="center"/>
        <w:rPr>
          <w:rFonts w:ascii="宋体" w:hAnsi="宋体" w:eastAsia="宋体" w:cs="宋体"/>
          <w:b/>
          <w:bCs/>
          <w:sz w:val="44"/>
          <w:szCs w:val="44"/>
        </w:rPr>
      </w:pPr>
      <w:r>
        <w:rPr>
          <w:rFonts w:hint="eastAsia" w:ascii="宋体" w:hAnsi="宋体" w:eastAsia="宋体" w:cs="宋体"/>
          <w:b/>
          <w:bCs/>
          <w:sz w:val="44"/>
          <w:szCs w:val="44"/>
        </w:rPr>
        <w:t>电梯维护保养及年检项目</w:t>
      </w:r>
    </w:p>
    <w:p w14:paraId="1BE5B388">
      <w:pPr>
        <w:adjustRightInd w:val="0"/>
        <w:snapToGrid w:val="0"/>
        <w:spacing w:line="360" w:lineRule="auto"/>
        <w:jc w:val="left"/>
        <w:rPr>
          <w:rFonts w:ascii="宋体" w:hAnsi="宋体" w:eastAsia="宋体" w:cs="宋体"/>
          <w:b/>
          <w:bCs/>
          <w:sz w:val="24"/>
        </w:rPr>
      </w:pPr>
    </w:p>
    <w:p w14:paraId="39CD7777">
      <w:pPr>
        <w:adjustRightInd w:val="0"/>
        <w:snapToGrid w:val="0"/>
        <w:spacing w:line="360" w:lineRule="auto"/>
        <w:jc w:val="center"/>
        <w:rPr>
          <w:rFonts w:hint="eastAsia" w:ascii="宋体" w:hAnsi="宋体" w:eastAsia="宋体" w:cs="宋体"/>
          <w:b/>
          <w:bCs/>
          <w:sz w:val="24"/>
        </w:rPr>
      </w:pPr>
    </w:p>
    <w:p w14:paraId="4B1A877A">
      <w:pPr>
        <w:adjustRightInd w:val="0"/>
        <w:snapToGrid w:val="0"/>
        <w:spacing w:line="360" w:lineRule="auto"/>
        <w:jc w:val="center"/>
        <w:rPr>
          <w:rFonts w:ascii="宋体" w:hAnsi="宋体" w:eastAsia="宋体" w:cs="宋体"/>
          <w:b/>
          <w:bCs/>
          <w:sz w:val="24"/>
        </w:rPr>
      </w:pPr>
      <w:r>
        <w:rPr>
          <w:rFonts w:hint="eastAsia" w:ascii="宋体" w:hAnsi="宋体" w:eastAsia="宋体" w:cs="宋体"/>
          <w:b/>
          <w:bCs/>
          <w:sz w:val="24"/>
        </w:rPr>
        <w:t>【第包：】</w:t>
      </w:r>
    </w:p>
    <w:p w14:paraId="3DAC368F">
      <w:pPr>
        <w:adjustRightInd w:val="0"/>
        <w:snapToGrid w:val="0"/>
        <w:spacing w:line="360" w:lineRule="auto"/>
        <w:jc w:val="center"/>
        <w:rPr>
          <w:rFonts w:hint="eastAsia" w:ascii="宋体" w:hAnsi="宋体" w:eastAsia="宋体" w:cs="宋体"/>
          <w:b/>
          <w:bCs/>
          <w:sz w:val="84"/>
          <w:szCs w:val="84"/>
        </w:rPr>
      </w:pPr>
    </w:p>
    <w:p w14:paraId="2057198D">
      <w:pPr>
        <w:adjustRightInd w:val="0"/>
        <w:snapToGrid w:val="0"/>
        <w:spacing w:line="360" w:lineRule="auto"/>
        <w:jc w:val="center"/>
        <w:rPr>
          <w:rFonts w:hint="eastAsia" w:ascii="宋体" w:hAnsi="宋体" w:eastAsia="宋体" w:cs="宋体"/>
          <w:b/>
          <w:bCs/>
          <w:sz w:val="84"/>
          <w:szCs w:val="84"/>
        </w:rPr>
      </w:pPr>
    </w:p>
    <w:p w14:paraId="40192B18">
      <w:pPr>
        <w:adjustRightInd w:val="0"/>
        <w:snapToGrid w:val="0"/>
        <w:spacing w:line="360" w:lineRule="auto"/>
        <w:jc w:val="center"/>
        <w:rPr>
          <w:rFonts w:ascii="宋体" w:hAnsi="宋体" w:eastAsia="宋体" w:cs="宋体"/>
          <w:b/>
          <w:bCs/>
          <w:sz w:val="24"/>
        </w:rPr>
      </w:pPr>
      <w:r>
        <w:rPr>
          <w:rFonts w:hint="eastAsia" w:ascii="宋体" w:hAnsi="宋体" w:eastAsia="宋体" w:cs="宋体"/>
          <w:b/>
          <w:bCs/>
          <w:sz w:val="84"/>
          <w:szCs w:val="84"/>
        </w:rPr>
        <w:t>服务合同</w:t>
      </w:r>
    </w:p>
    <w:p w14:paraId="56031374">
      <w:pPr>
        <w:adjustRightInd w:val="0"/>
        <w:snapToGrid w:val="0"/>
        <w:spacing w:line="360" w:lineRule="auto"/>
        <w:ind w:firstLine="2409" w:firstLineChars="1000"/>
        <w:jc w:val="left"/>
        <w:rPr>
          <w:rFonts w:ascii="宋体" w:hAnsi="宋体" w:eastAsia="宋体" w:cs="宋体"/>
          <w:b/>
          <w:bCs/>
          <w:sz w:val="24"/>
        </w:rPr>
      </w:pPr>
    </w:p>
    <w:p w14:paraId="0A45520D">
      <w:pPr>
        <w:adjustRightInd w:val="0"/>
        <w:snapToGrid w:val="0"/>
        <w:spacing w:line="360" w:lineRule="auto"/>
        <w:ind w:firstLine="480" w:firstLineChars="200"/>
        <w:jc w:val="left"/>
        <w:rPr>
          <w:rFonts w:ascii="宋体" w:hAnsi="宋体" w:eastAsia="宋体" w:cs="宋体"/>
          <w:sz w:val="24"/>
        </w:rPr>
      </w:pPr>
    </w:p>
    <w:p w14:paraId="0150E715">
      <w:pPr>
        <w:adjustRightInd w:val="0"/>
        <w:snapToGrid w:val="0"/>
        <w:spacing w:line="360" w:lineRule="auto"/>
        <w:ind w:firstLine="480" w:firstLineChars="200"/>
        <w:jc w:val="left"/>
        <w:rPr>
          <w:rFonts w:ascii="宋体" w:hAnsi="宋体" w:eastAsia="宋体" w:cs="宋体"/>
          <w:sz w:val="24"/>
        </w:rPr>
      </w:pPr>
    </w:p>
    <w:p w14:paraId="44B1CF78">
      <w:pPr>
        <w:adjustRightInd w:val="0"/>
        <w:snapToGrid w:val="0"/>
        <w:spacing w:line="360" w:lineRule="auto"/>
        <w:jc w:val="left"/>
        <w:rPr>
          <w:rFonts w:ascii="宋体" w:hAnsi="宋体" w:eastAsia="宋体" w:cs="宋体"/>
          <w:sz w:val="24"/>
        </w:rPr>
      </w:pPr>
    </w:p>
    <w:p w14:paraId="7881BF08">
      <w:pPr>
        <w:adjustRightInd w:val="0"/>
        <w:snapToGrid w:val="0"/>
        <w:spacing w:line="360" w:lineRule="auto"/>
        <w:ind w:firstLine="480" w:firstLineChars="200"/>
        <w:jc w:val="left"/>
        <w:rPr>
          <w:rFonts w:ascii="宋体" w:hAnsi="宋体" w:eastAsia="宋体" w:cs="宋体"/>
          <w:sz w:val="24"/>
        </w:rPr>
      </w:pPr>
    </w:p>
    <w:p w14:paraId="52467672">
      <w:pPr>
        <w:adjustRightInd w:val="0"/>
        <w:snapToGrid w:val="0"/>
        <w:spacing w:line="360" w:lineRule="auto"/>
        <w:ind w:firstLine="480" w:firstLineChars="200"/>
        <w:jc w:val="left"/>
        <w:rPr>
          <w:rFonts w:ascii="宋体" w:hAnsi="宋体" w:eastAsia="宋体" w:cs="宋体"/>
          <w:sz w:val="24"/>
        </w:rPr>
      </w:pPr>
    </w:p>
    <w:p w14:paraId="79F799A3">
      <w:pPr>
        <w:adjustRightInd w:val="0"/>
        <w:snapToGrid w:val="0"/>
        <w:spacing w:line="360" w:lineRule="auto"/>
        <w:ind w:firstLine="1928" w:firstLineChars="600"/>
        <w:jc w:val="left"/>
        <w:rPr>
          <w:rFonts w:ascii="宋体" w:hAnsi="宋体" w:eastAsia="宋体" w:cs="宋体"/>
          <w:b/>
          <w:bCs/>
          <w:sz w:val="32"/>
          <w:szCs w:val="32"/>
        </w:rPr>
      </w:pPr>
      <w:r>
        <w:rPr>
          <w:rFonts w:hint="eastAsia" w:ascii="宋体" w:hAnsi="宋体" w:eastAsia="宋体" w:cs="宋体"/>
          <w:b/>
          <w:bCs/>
          <w:sz w:val="32"/>
          <w:szCs w:val="32"/>
        </w:rPr>
        <w:t>甲方：西安工程大学</w:t>
      </w:r>
    </w:p>
    <w:p w14:paraId="1B1E4286">
      <w:pPr>
        <w:adjustRightInd w:val="0"/>
        <w:snapToGrid w:val="0"/>
        <w:spacing w:line="360" w:lineRule="auto"/>
        <w:ind w:firstLine="1928" w:firstLineChars="600"/>
        <w:jc w:val="left"/>
        <w:rPr>
          <w:rFonts w:ascii="宋体" w:hAnsi="宋体" w:eastAsia="宋体" w:cs="宋体"/>
          <w:b/>
          <w:bCs/>
          <w:sz w:val="32"/>
          <w:szCs w:val="32"/>
          <w:u w:val="single"/>
        </w:rPr>
      </w:pPr>
      <w:r>
        <w:rPr>
          <w:rFonts w:hint="eastAsia" w:ascii="宋体" w:hAnsi="宋体" w:eastAsia="宋体" w:cs="宋体"/>
          <w:b/>
          <w:bCs/>
          <w:sz w:val="32"/>
          <w:szCs w:val="32"/>
        </w:rPr>
        <w:t>乙方：</w:t>
      </w:r>
    </w:p>
    <w:p w14:paraId="72B63C9D">
      <w:pPr>
        <w:spacing w:line="360" w:lineRule="auto"/>
        <w:jc w:val="center"/>
        <w:rPr>
          <w:rFonts w:ascii="宋体" w:hAnsi="宋体" w:eastAsia="宋体" w:cs="宋体"/>
          <w:b/>
          <w:sz w:val="30"/>
          <w:szCs w:val="30"/>
        </w:rPr>
      </w:pPr>
      <w:r>
        <w:rPr>
          <w:rFonts w:hint="eastAsia" w:ascii="宋体" w:hAnsi="宋体" w:eastAsia="宋体" w:cs="宋体"/>
          <w:sz w:val="24"/>
        </w:rPr>
        <w:br w:type="page"/>
      </w:r>
      <w:r>
        <w:rPr>
          <w:rFonts w:hint="eastAsia" w:ascii="宋体" w:hAnsi="宋体" w:eastAsia="宋体" w:cs="宋体"/>
          <w:b/>
          <w:sz w:val="44"/>
          <w:szCs w:val="44"/>
        </w:rPr>
        <w:t>服务合同</w:t>
      </w:r>
    </w:p>
    <w:p w14:paraId="20CE62B5">
      <w:pPr>
        <w:adjustRightInd w:val="0"/>
        <w:snapToGrid w:val="0"/>
        <w:spacing w:line="360" w:lineRule="auto"/>
        <w:ind w:firstLine="482" w:firstLineChars="200"/>
        <w:jc w:val="left"/>
        <w:rPr>
          <w:rFonts w:ascii="宋体" w:hAnsi="宋体" w:eastAsia="宋体" w:cs="宋体"/>
          <w:b/>
          <w:color w:val="000000"/>
          <w:kern w:val="0"/>
          <w:sz w:val="24"/>
        </w:rPr>
      </w:pPr>
      <w:r>
        <w:rPr>
          <w:rFonts w:hint="eastAsia" w:ascii="宋体" w:hAnsi="宋体" w:eastAsia="宋体" w:cs="宋体"/>
          <w:b/>
          <w:color w:val="000000"/>
          <w:kern w:val="0"/>
          <w:sz w:val="24"/>
        </w:rPr>
        <w:t>甲方：</w:t>
      </w:r>
    </w:p>
    <w:p w14:paraId="130D37AF">
      <w:pPr>
        <w:adjustRightInd w:val="0"/>
        <w:snapToGrid w:val="0"/>
        <w:spacing w:line="360" w:lineRule="auto"/>
        <w:ind w:firstLine="482" w:firstLineChars="200"/>
        <w:rPr>
          <w:rFonts w:ascii="宋体" w:hAnsi="宋体" w:eastAsia="宋体" w:cs="宋体"/>
          <w:sz w:val="24"/>
        </w:rPr>
      </w:pPr>
      <w:r>
        <w:rPr>
          <w:rFonts w:hint="eastAsia" w:ascii="宋体" w:hAnsi="宋体" w:eastAsia="宋体" w:cs="宋体"/>
          <w:b/>
          <w:color w:val="000000"/>
          <w:kern w:val="0"/>
          <w:sz w:val="24"/>
        </w:rPr>
        <w:t>乙方：</w:t>
      </w:r>
    </w:p>
    <w:p w14:paraId="0B5D59AE">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根据《特种设备安全监察条例》规定：“电梯的日常维护保养必须有取得安装维修许可证资格的专业单位进行，电梯应当至少每15日进行一次清洁、润滑、调整和检查，对电梯机房、电梯轿厢壁、楼层门厅及楼层门（保洁油）每月进行一次保洁”的要求。为保证电梯的良好技术状况和安全可靠的运行，经双方协商同意签订本合同，具体条款如下：</w:t>
      </w:r>
    </w:p>
    <w:p w14:paraId="39FC1B53">
      <w:pPr>
        <w:adjustRightInd w:val="0"/>
        <w:snapToGrid w:val="0"/>
        <w:spacing w:line="360" w:lineRule="auto"/>
        <w:ind w:firstLine="482" w:firstLineChars="200"/>
        <w:jc w:val="left"/>
        <w:rPr>
          <w:rFonts w:ascii="宋体" w:hAnsi="宋体" w:eastAsia="宋体" w:cs="宋体"/>
          <w:b/>
          <w:bCs/>
          <w:sz w:val="24"/>
        </w:rPr>
      </w:pPr>
      <w:r>
        <w:rPr>
          <w:rFonts w:hint="eastAsia" w:ascii="宋体" w:hAnsi="宋体" w:eastAsia="宋体" w:cs="宋体"/>
          <w:b/>
          <w:bCs/>
          <w:sz w:val="24"/>
        </w:rPr>
        <w:t>一、电梯有关参数及数量：</w:t>
      </w:r>
    </w:p>
    <w:tbl>
      <w:tblPr>
        <w:tblStyle w:val="2"/>
        <w:tblW w:w="9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1575"/>
        <w:gridCol w:w="2252"/>
        <w:gridCol w:w="993"/>
        <w:gridCol w:w="708"/>
        <w:gridCol w:w="1134"/>
        <w:gridCol w:w="2128"/>
      </w:tblGrid>
      <w:tr w14:paraId="2019C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850" w:type="dxa"/>
            <w:noWrap/>
            <w:vAlign w:val="center"/>
          </w:tcPr>
          <w:p w14:paraId="47C17B76">
            <w:pPr>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序号</w:t>
            </w:r>
          </w:p>
        </w:tc>
        <w:tc>
          <w:tcPr>
            <w:tcW w:w="1575" w:type="dxa"/>
            <w:noWrap/>
            <w:vAlign w:val="center"/>
          </w:tcPr>
          <w:p w14:paraId="19DB8BB7">
            <w:pPr>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品牌/楼号</w:t>
            </w:r>
          </w:p>
        </w:tc>
        <w:tc>
          <w:tcPr>
            <w:tcW w:w="2252" w:type="dxa"/>
            <w:noWrap/>
            <w:vAlign w:val="center"/>
          </w:tcPr>
          <w:p w14:paraId="0BDC43A9">
            <w:pPr>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注册代码</w:t>
            </w:r>
          </w:p>
        </w:tc>
        <w:tc>
          <w:tcPr>
            <w:tcW w:w="993" w:type="dxa"/>
            <w:noWrap/>
            <w:vAlign w:val="center"/>
          </w:tcPr>
          <w:p w14:paraId="737E0AEC">
            <w:pPr>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层/站</w:t>
            </w:r>
          </w:p>
        </w:tc>
        <w:tc>
          <w:tcPr>
            <w:tcW w:w="708" w:type="dxa"/>
            <w:noWrap/>
            <w:vAlign w:val="center"/>
          </w:tcPr>
          <w:p w14:paraId="1F22A146">
            <w:pPr>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电梯台数</w:t>
            </w:r>
          </w:p>
        </w:tc>
        <w:tc>
          <w:tcPr>
            <w:tcW w:w="1134" w:type="dxa"/>
            <w:noWrap/>
            <w:vAlign w:val="center"/>
          </w:tcPr>
          <w:p w14:paraId="074BDB1E">
            <w:pPr>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单台月维保费</w:t>
            </w:r>
          </w:p>
        </w:tc>
        <w:tc>
          <w:tcPr>
            <w:tcW w:w="2128" w:type="dxa"/>
            <w:noWrap/>
            <w:vAlign w:val="center"/>
          </w:tcPr>
          <w:p w14:paraId="2F2DE276">
            <w:pPr>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小计（人民币元）</w:t>
            </w:r>
          </w:p>
        </w:tc>
      </w:tr>
      <w:tr w14:paraId="67B33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850" w:type="dxa"/>
            <w:noWrap/>
            <w:vAlign w:val="center"/>
          </w:tcPr>
          <w:p w14:paraId="44AE171C">
            <w:pPr>
              <w:adjustRightInd w:val="0"/>
              <w:snapToGrid w:val="0"/>
              <w:spacing w:line="360" w:lineRule="auto"/>
              <w:jc w:val="center"/>
              <w:rPr>
                <w:rFonts w:ascii="宋体" w:hAnsi="宋体" w:eastAsia="宋体" w:cs="宋体"/>
                <w:color w:val="000000"/>
                <w:kern w:val="0"/>
                <w:sz w:val="24"/>
              </w:rPr>
            </w:pPr>
          </w:p>
        </w:tc>
        <w:tc>
          <w:tcPr>
            <w:tcW w:w="1575" w:type="dxa"/>
            <w:noWrap/>
            <w:vAlign w:val="center"/>
          </w:tcPr>
          <w:p w14:paraId="14B27F59">
            <w:pPr>
              <w:adjustRightInd w:val="0"/>
              <w:snapToGrid w:val="0"/>
              <w:spacing w:line="360" w:lineRule="auto"/>
              <w:jc w:val="center"/>
              <w:rPr>
                <w:rFonts w:ascii="宋体" w:hAnsi="宋体" w:eastAsia="宋体" w:cs="宋体"/>
                <w:color w:val="000000"/>
                <w:kern w:val="0"/>
                <w:sz w:val="24"/>
              </w:rPr>
            </w:pPr>
          </w:p>
        </w:tc>
        <w:tc>
          <w:tcPr>
            <w:tcW w:w="2252" w:type="dxa"/>
            <w:noWrap/>
          </w:tcPr>
          <w:p w14:paraId="290DD0C1">
            <w:pPr>
              <w:adjustRightInd w:val="0"/>
              <w:snapToGrid w:val="0"/>
              <w:spacing w:line="360" w:lineRule="auto"/>
              <w:jc w:val="center"/>
              <w:rPr>
                <w:rFonts w:ascii="宋体" w:hAnsi="宋体" w:eastAsia="宋体" w:cs="宋体"/>
                <w:color w:val="000000"/>
                <w:kern w:val="0"/>
                <w:sz w:val="24"/>
              </w:rPr>
            </w:pPr>
          </w:p>
        </w:tc>
        <w:tc>
          <w:tcPr>
            <w:tcW w:w="993" w:type="dxa"/>
            <w:noWrap/>
            <w:vAlign w:val="center"/>
          </w:tcPr>
          <w:p w14:paraId="4C95A623">
            <w:pPr>
              <w:adjustRightInd w:val="0"/>
              <w:snapToGrid w:val="0"/>
              <w:spacing w:line="360" w:lineRule="auto"/>
              <w:jc w:val="center"/>
              <w:rPr>
                <w:rFonts w:ascii="宋体" w:hAnsi="宋体" w:eastAsia="宋体" w:cs="宋体"/>
                <w:color w:val="000000"/>
                <w:kern w:val="0"/>
                <w:sz w:val="24"/>
              </w:rPr>
            </w:pPr>
          </w:p>
        </w:tc>
        <w:tc>
          <w:tcPr>
            <w:tcW w:w="708" w:type="dxa"/>
            <w:noWrap/>
            <w:vAlign w:val="center"/>
          </w:tcPr>
          <w:p w14:paraId="1EF4DF42">
            <w:pPr>
              <w:adjustRightInd w:val="0"/>
              <w:snapToGrid w:val="0"/>
              <w:spacing w:line="360" w:lineRule="auto"/>
              <w:jc w:val="center"/>
              <w:rPr>
                <w:rFonts w:ascii="宋体" w:hAnsi="宋体" w:eastAsia="宋体" w:cs="宋体"/>
                <w:color w:val="000000"/>
                <w:kern w:val="0"/>
                <w:sz w:val="24"/>
              </w:rPr>
            </w:pPr>
          </w:p>
        </w:tc>
        <w:tc>
          <w:tcPr>
            <w:tcW w:w="1134" w:type="dxa"/>
            <w:noWrap/>
            <w:vAlign w:val="center"/>
          </w:tcPr>
          <w:p w14:paraId="59F5B5F9">
            <w:pPr>
              <w:adjustRightInd w:val="0"/>
              <w:snapToGrid w:val="0"/>
              <w:spacing w:line="360" w:lineRule="auto"/>
              <w:jc w:val="center"/>
              <w:rPr>
                <w:rFonts w:ascii="宋体" w:hAnsi="宋体" w:eastAsia="宋体" w:cs="宋体"/>
                <w:color w:val="000000"/>
                <w:kern w:val="0"/>
                <w:sz w:val="24"/>
              </w:rPr>
            </w:pPr>
          </w:p>
        </w:tc>
        <w:tc>
          <w:tcPr>
            <w:tcW w:w="2128" w:type="dxa"/>
            <w:noWrap/>
            <w:vAlign w:val="center"/>
          </w:tcPr>
          <w:p w14:paraId="695E8BBA">
            <w:pPr>
              <w:adjustRightInd w:val="0"/>
              <w:snapToGrid w:val="0"/>
              <w:spacing w:line="360" w:lineRule="auto"/>
              <w:jc w:val="center"/>
              <w:rPr>
                <w:rFonts w:ascii="宋体" w:hAnsi="宋体" w:eastAsia="宋体" w:cs="宋体"/>
                <w:color w:val="000000"/>
                <w:kern w:val="0"/>
                <w:sz w:val="24"/>
              </w:rPr>
            </w:pPr>
          </w:p>
        </w:tc>
      </w:tr>
      <w:tr w14:paraId="43C4B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850" w:type="dxa"/>
            <w:noWrap/>
            <w:vAlign w:val="center"/>
          </w:tcPr>
          <w:p w14:paraId="493CACDB">
            <w:pPr>
              <w:adjustRightInd w:val="0"/>
              <w:snapToGrid w:val="0"/>
              <w:spacing w:line="360" w:lineRule="auto"/>
              <w:jc w:val="center"/>
              <w:rPr>
                <w:rFonts w:ascii="宋体" w:hAnsi="宋体" w:eastAsia="宋体" w:cs="宋体"/>
                <w:color w:val="000000"/>
                <w:kern w:val="0"/>
                <w:sz w:val="24"/>
              </w:rPr>
            </w:pPr>
          </w:p>
        </w:tc>
        <w:tc>
          <w:tcPr>
            <w:tcW w:w="1575" w:type="dxa"/>
            <w:noWrap/>
            <w:vAlign w:val="center"/>
          </w:tcPr>
          <w:p w14:paraId="6A282E81">
            <w:pPr>
              <w:adjustRightInd w:val="0"/>
              <w:snapToGrid w:val="0"/>
              <w:spacing w:line="360" w:lineRule="auto"/>
              <w:jc w:val="center"/>
              <w:rPr>
                <w:rFonts w:ascii="宋体" w:hAnsi="宋体" w:eastAsia="宋体" w:cs="宋体"/>
                <w:color w:val="000000"/>
                <w:kern w:val="0"/>
                <w:sz w:val="24"/>
              </w:rPr>
            </w:pPr>
          </w:p>
        </w:tc>
        <w:tc>
          <w:tcPr>
            <w:tcW w:w="2252" w:type="dxa"/>
            <w:noWrap/>
          </w:tcPr>
          <w:p w14:paraId="5453C741">
            <w:pPr>
              <w:adjustRightInd w:val="0"/>
              <w:snapToGrid w:val="0"/>
              <w:spacing w:line="360" w:lineRule="auto"/>
              <w:jc w:val="center"/>
              <w:rPr>
                <w:rFonts w:ascii="宋体" w:hAnsi="宋体" w:eastAsia="宋体" w:cs="宋体"/>
                <w:color w:val="000000"/>
                <w:kern w:val="0"/>
                <w:sz w:val="24"/>
              </w:rPr>
            </w:pPr>
          </w:p>
        </w:tc>
        <w:tc>
          <w:tcPr>
            <w:tcW w:w="993" w:type="dxa"/>
            <w:noWrap/>
            <w:vAlign w:val="center"/>
          </w:tcPr>
          <w:p w14:paraId="7826DDBD">
            <w:pPr>
              <w:adjustRightInd w:val="0"/>
              <w:snapToGrid w:val="0"/>
              <w:spacing w:line="360" w:lineRule="auto"/>
              <w:jc w:val="center"/>
              <w:rPr>
                <w:rFonts w:ascii="宋体" w:hAnsi="宋体" w:eastAsia="宋体" w:cs="宋体"/>
                <w:color w:val="000000"/>
                <w:kern w:val="0"/>
                <w:sz w:val="24"/>
              </w:rPr>
            </w:pPr>
          </w:p>
        </w:tc>
        <w:tc>
          <w:tcPr>
            <w:tcW w:w="708" w:type="dxa"/>
            <w:noWrap/>
            <w:vAlign w:val="center"/>
          </w:tcPr>
          <w:p w14:paraId="01B8A798">
            <w:pPr>
              <w:adjustRightInd w:val="0"/>
              <w:snapToGrid w:val="0"/>
              <w:spacing w:line="360" w:lineRule="auto"/>
              <w:jc w:val="center"/>
              <w:rPr>
                <w:rFonts w:ascii="宋体" w:hAnsi="宋体" w:eastAsia="宋体" w:cs="宋体"/>
                <w:color w:val="000000"/>
                <w:kern w:val="0"/>
                <w:sz w:val="24"/>
              </w:rPr>
            </w:pPr>
          </w:p>
        </w:tc>
        <w:tc>
          <w:tcPr>
            <w:tcW w:w="1134" w:type="dxa"/>
            <w:noWrap/>
            <w:vAlign w:val="center"/>
          </w:tcPr>
          <w:p w14:paraId="15CC5717">
            <w:pPr>
              <w:adjustRightInd w:val="0"/>
              <w:snapToGrid w:val="0"/>
              <w:spacing w:line="360" w:lineRule="auto"/>
              <w:jc w:val="center"/>
              <w:rPr>
                <w:rFonts w:ascii="宋体" w:hAnsi="宋体" w:eastAsia="宋体" w:cs="宋体"/>
                <w:color w:val="000000"/>
                <w:kern w:val="0"/>
                <w:sz w:val="24"/>
              </w:rPr>
            </w:pPr>
          </w:p>
        </w:tc>
        <w:tc>
          <w:tcPr>
            <w:tcW w:w="2128" w:type="dxa"/>
            <w:noWrap/>
            <w:vAlign w:val="center"/>
          </w:tcPr>
          <w:p w14:paraId="6903DCAF">
            <w:pPr>
              <w:adjustRightInd w:val="0"/>
              <w:snapToGrid w:val="0"/>
              <w:spacing w:line="360" w:lineRule="auto"/>
              <w:jc w:val="center"/>
              <w:rPr>
                <w:rFonts w:ascii="宋体" w:hAnsi="宋体" w:eastAsia="宋体" w:cs="宋体"/>
                <w:color w:val="000000"/>
                <w:kern w:val="0"/>
                <w:sz w:val="24"/>
              </w:rPr>
            </w:pPr>
          </w:p>
        </w:tc>
      </w:tr>
      <w:tr w14:paraId="2CAC5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850" w:type="dxa"/>
            <w:noWrap/>
            <w:vAlign w:val="center"/>
          </w:tcPr>
          <w:p w14:paraId="3AE0BD15">
            <w:pPr>
              <w:adjustRightInd w:val="0"/>
              <w:snapToGrid w:val="0"/>
              <w:spacing w:line="360" w:lineRule="auto"/>
              <w:jc w:val="center"/>
              <w:rPr>
                <w:rFonts w:ascii="宋体" w:hAnsi="宋体" w:eastAsia="宋体" w:cs="宋体"/>
                <w:b/>
                <w:color w:val="000000"/>
                <w:kern w:val="0"/>
                <w:sz w:val="24"/>
              </w:rPr>
            </w:pPr>
            <w:r>
              <w:rPr>
                <w:rFonts w:hint="eastAsia" w:ascii="宋体" w:hAnsi="宋体" w:eastAsia="宋体" w:cs="宋体"/>
                <w:b/>
                <w:color w:val="000000"/>
                <w:kern w:val="0"/>
                <w:sz w:val="24"/>
              </w:rPr>
              <w:t xml:space="preserve">合计： </w:t>
            </w:r>
          </w:p>
        </w:tc>
        <w:tc>
          <w:tcPr>
            <w:tcW w:w="8790" w:type="dxa"/>
            <w:gridSpan w:val="6"/>
            <w:noWrap/>
            <w:vAlign w:val="center"/>
          </w:tcPr>
          <w:p w14:paraId="68A78F82">
            <w:pPr>
              <w:adjustRightInd w:val="0"/>
              <w:snapToGrid w:val="0"/>
              <w:spacing w:line="360" w:lineRule="auto"/>
              <w:rPr>
                <w:rFonts w:ascii="宋体" w:hAnsi="宋体" w:eastAsia="宋体" w:cs="宋体"/>
                <w:color w:val="000000"/>
                <w:kern w:val="0"/>
                <w:sz w:val="24"/>
              </w:rPr>
            </w:pPr>
            <w:r>
              <w:rPr>
                <w:rFonts w:hint="eastAsia" w:ascii="宋体" w:hAnsi="宋体" w:eastAsia="宋体" w:cs="宋体"/>
                <w:b/>
                <w:color w:val="000000"/>
                <w:kern w:val="0"/>
                <w:sz w:val="24"/>
              </w:rPr>
              <w:t>大写人民币：</w:t>
            </w:r>
            <w:r>
              <w:rPr>
                <w:rFonts w:hint="eastAsia" w:ascii="宋体" w:hAnsi="宋体" w:eastAsia="宋体" w:cs="宋体"/>
                <w:color w:val="000000"/>
                <w:kern w:val="0"/>
                <w:sz w:val="24"/>
              </w:rPr>
              <w:t xml:space="preserve">       (¥       元) </w:t>
            </w:r>
          </w:p>
        </w:tc>
      </w:tr>
    </w:tbl>
    <w:p w14:paraId="102F0948">
      <w:pPr>
        <w:adjustRightInd w:val="0"/>
        <w:snapToGrid w:val="0"/>
        <w:spacing w:line="360" w:lineRule="auto"/>
        <w:ind w:firstLine="482" w:firstLineChars="200"/>
        <w:jc w:val="left"/>
        <w:rPr>
          <w:rFonts w:ascii="宋体" w:hAnsi="宋体" w:eastAsia="宋体" w:cs="宋体"/>
          <w:b/>
          <w:bCs/>
          <w:sz w:val="24"/>
        </w:rPr>
      </w:pPr>
      <w:r>
        <w:rPr>
          <w:rFonts w:hint="eastAsia" w:ascii="宋体" w:hAnsi="宋体" w:eastAsia="宋体" w:cs="宋体"/>
          <w:b/>
          <w:bCs/>
          <w:sz w:val="24"/>
        </w:rPr>
        <w:t>二、</w:t>
      </w:r>
      <w:r>
        <w:rPr>
          <w:rFonts w:hint="eastAsia" w:ascii="宋体" w:hAnsi="宋体" w:cs="宋体"/>
          <w:b/>
          <w:bCs/>
          <w:sz w:val="24"/>
        </w:rPr>
        <w:t>服务期限</w:t>
      </w:r>
      <w:r>
        <w:rPr>
          <w:rFonts w:hint="eastAsia" w:ascii="宋体" w:hAnsi="宋体" w:eastAsia="宋体" w:cs="宋体"/>
          <w:b/>
          <w:bCs/>
          <w:sz w:val="24"/>
        </w:rPr>
        <w:t>：</w:t>
      </w:r>
    </w:p>
    <w:p w14:paraId="42777119">
      <w:pPr>
        <w:pStyle w:val="4"/>
        <w:adjustRightInd w:val="0"/>
        <w:snapToGrid w:val="0"/>
        <w:spacing w:line="348" w:lineRule="auto"/>
        <w:ind w:firstLine="480" w:firstLineChars="200"/>
        <w:rPr>
          <w:rFonts w:hint="default" w:ascii="宋体" w:hAnsi="宋体" w:eastAsia="宋体" w:cs="宋体"/>
          <w:sz w:val="24"/>
          <w:szCs w:val="24"/>
        </w:rPr>
      </w:pPr>
      <w:r>
        <w:rPr>
          <w:rFonts w:ascii="宋体" w:hAnsi="宋体" w:eastAsia="宋体" w:cs="宋体"/>
          <w:sz w:val="24"/>
          <w:szCs w:val="24"/>
        </w:rPr>
        <w:t>1</w:t>
      </w:r>
      <w:r>
        <w:rPr>
          <w:rFonts w:ascii="宋体" w:hAnsi="宋体" w:cs="宋体"/>
          <w:sz w:val="24"/>
          <w:szCs w:val="24"/>
        </w:rPr>
        <w:t>.</w:t>
      </w:r>
      <w:r>
        <w:rPr>
          <w:rFonts w:ascii="宋体" w:hAnsi="宋体" w:eastAsia="宋体" w:cs="宋体"/>
          <w:sz w:val="24"/>
          <w:szCs w:val="24"/>
        </w:rPr>
        <w:t>服务合同一年一签，采购人对成交供应商服务满意后，后续预算已落实且成交供应商也愿意按原成交价续签的情况下，采购人可选择与成交供应商续签，总服务期不超过三年。</w:t>
      </w:r>
    </w:p>
    <w:p w14:paraId="00B75576">
      <w:pPr>
        <w:adjustRightInd w:val="0"/>
        <w:snapToGrid w:val="0"/>
        <w:spacing w:line="360" w:lineRule="auto"/>
        <w:ind w:firstLine="480" w:firstLineChars="200"/>
        <w:jc w:val="left"/>
        <w:rPr>
          <w:rFonts w:ascii="宋体" w:hAnsi="宋体" w:eastAsia="宋体" w:cs="宋体"/>
          <w:sz w:val="24"/>
        </w:rPr>
      </w:pPr>
      <w:r>
        <w:rPr>
          <w:rFonts w:hint="eastAsia" w:ascii="宋体" w:hAnsi="宋体" w:cs="宋体"/>
          <w:sz w:val="24"/>
        </w:rPr>
        <w:t>2.</w:t>
      </w:r>
      <w:r>
        <w:rPr>
          <w:rFonts w:hint="eastAsia" w:ascii="宋体" w:hAnsi="宋体" w:eastAsia="宋体" w:cs="宋体"/>
          <w:sz w:val="24"/>
        </w:rPr>
        <w:t>自2025年月日至 年 月日止</w:t>
      </w:r>
      <w:r>
        <w:rPr>
          <w:rFonts w:hint="eastAsia" w:ascii="宋体" w:hAnsi="宋体" w:cs="宋体"/>
          <w:sz w:val="24"/>
        </w:rPr>
        <w:t>。</w:t>
      </w:r>
    </w:p>
    <w:p w14:paraId="145B6BEE">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3</w:t>
      </w:r>
      <w:r>
        <w:rPr>
          <w:rFonts w:hint="eastAsia" w:ascii="宋体" w:hAnsi="宋体" w:cs="宋体"/>
          <w:sz w:val="24"/>
        </w:rPr>
        <w:t>.</w:t>
      </w:r>
      <w:r>
        <w:rPr>
          <w:rFonts w:hint="eastAsia" w:ascii="宋体" w:hAnsi="宋体" w:eastAsia="宋体" w:cs="宋体"/>
          <w:sz w:val="24"/>
        </w:rPr>
        <w:t>如遇电梯报废，该部电梯维护保养费从停运当天截止。</w:t>
      </w:r>
    </w:p>
    <w:p w14:paraId="0B2103B3">
      <w:pPr>
        <w:adjustRightInd w:val="0"/>
        <w:snapToGrid w:val="0"/>
        <w:spacing w:line="360" w:lineRule="auto"/>
        <w:ind w:firstLine="482" w:firstLineChars="200"/>
        <w:jc w:val="left"/>
        <w:rPr>
          <w:rFonts w:ascii="宋体" w:hAnsi="宋体" w:eastAsia="宋体" w:cs="宋体"/>
          <w:b/>
          <w:bCs/>
          <w:sz w:val="24"/>
        </w:rPr>
      </w:pPr>
      <w:r>
        <w:rPr>
          <w:rFonts w:hint="eastAsia" w:ascii="宋体" w:hAnsi="宋体" w:eastAsia="宋体" w:cs="宋体"/>
          <w:b/>
          <w:bCs/>
          <w:sz w:val="24"/>
        </w:rPr>
        <w:t>三、</w:t>
      </w:r>
      <w:r>
        <w:rPr>
          <w:rFonts w:hint="eastAsia" w:ascii="宋体" w:hAnsi="宋体" w:eastAsia="宋体" w:cs="宋体"/>
          <w:b/>
          <w:bCs/>
          <w:sz w:val="24"/>
          <w:lang w:val="en-US" w:eastAsia="zh-CN"/>
        </w:rPr>
        <w:t>合同</w:t>
      </w:r>
      <w:r>
        <w:rPr>
          <w:rFonts w:hint="eastAsia" w:ascii="宋体" w:hAnsi="宋体" w:eastAsia="宋体" w:cs="宋体"/>
          <w:b/>
          <w:bCs/>
          <w:sz w:val="24"/>
        </w:rPr>
        <w:t>款项及付款方式：</w:t>
      </w:r>
    </w:p>
    <w:p w14:paraId="5A90ABC0">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w:t>
      </w:r>
      <w:r>
        <w:rPr>
          <w:rFonts w:hint="eastAsia" w:ascii="宋体" w:hAnsi="宋体" w:cs="宋体"/>
          <w:sz w:val="24"/>
        </w:rPr>
        <w:t>.</w:t>
      </w:r>
      <w:r>
        <w:rPr>
          <w:rFonts w:hint="eastAsia" w:ascii="宋体" w:hAnsi="宋体" w:eastAsia="宋体" w:cs="宋体"/>
          <w:sz w:val="24"/>
        </w:rPr>
        <w:t>本合同保养电梯台，合同总价：</w:t>
      </w:r>
      <w:r>
        <w:rPr>
          <w:rFonts w:hint="eastAsia" w:ascii="宋体" w:hAnsi="宋体" w:eastAsia="宋体" w:cs="宋体"/>
          <w:sz w:val="24"/>
          <w:u w:val="single"/>
          <w:lang w:val="en-US" w:eastAsia="zh-CN"/>
        </w:rPr>
        <w:t xml:space="preserve">         </w:t>
      </w:r>
      <w:r>
        <w:rPr>
          <w:rFonts w:hint="eastAsia" w:ascii="宋体" w:hAnsi="宋体" w:eastAsia="宋体" w:cs="宋体"/>
          <w:sz w:val="24"/>
        </w:rPr>
        <w:t>元（人民币大写：</w:t>
      </w:r>
      <w:r>
        <w:rPr>
          <w:rFonts w:hint="eastAsia" w:ascii="宋体" w:hAnsi="宋体" w:eastAsia="宋体" w:cs="宋体"/>
          <w:sz w:val="24"/>
          <w:u w:val="single"/>
          <w:lang w:val="en-US" w:eastAsia="zh-CN"/>
        </w:rPr>
        <w:t xml:space="preserve">         </w:t>
      </w:r>
      <w:r>
        <w:rPr>
          <w:rFonts w:hint="eastAsia" w:ascii="宋体" w:hAnsi="宋体" w:eastAsia="宋体" w:cs="宋体"/>
          <w:sz w:val="24"/>
        </w:rPr>
        <w:t>）</w:t>
      </w:r>
    </w:p>
    <w:p w14:paraId="57A26F1D">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2</w:t>
      </w:r>
      <w:r>
        <w:rPr>
          <w:rFonts w:hint="eastAsia" w:ascii="宋体" w:hAnsi="宋体" w:cs="宋体"/>
          <w:sz w:val="24"/>
        </w:rPr>
        <w:t>.</w:t>
      </w:r>
      <w:r>
        <w:rPr>
          <w:rFonts w:hint="eastAsia" w:ascii="宋体" w:hAnsi="宋体" w:eastAsia="宋体" w:cs="宋体"/>
          <w:sz w:val="24"/>
        </w:rPr>
        <w:t>合同签订后，乙方严格按照合同约定，完成甲方电梯的维护保养及年检工作，确保甲方电梯在合同期内年检合格。待所有服务完成并经甲方验收合格后，30天内支付合同总价的100%。甲方向乙方付款前，乙方应向甲方开具符合甲方要求的发票，若因乙方未开具或逾期开具合法有效的发票，甲方有权顺延付款期限且不承担逾期付款责任。</w:t>
      </w:r>
    </w:p>
    <w:p w14:paraId="76E353A3">
      <w:pPr>
        <w:adjustRightInd w:val="0"/>
        <w:snapToGrid w:val="0"/>
        <w:spacing w:line="360" w:lineRule="auto"/>
        <w:ind w:firstLine="482" w:firstLineChars="200"/>
        <w:rPr>
          <w:rFonts w:ascii="宋体" w:hAnsi="宋体" w:eastAsia="宋体" w:cs="宋体"/>
          <w:b/>
          <w:bCs/>
          <w:color w:val="000000"/>
          <w:kern w:val="0"/>
          <w:sz w:val="24"/>
          <w:u w:val="single"/>
        </w:rPr>
      </w:pPr>
      <w:r>
        <w:rPr>
          <w:rFonts w:hint="eastAsia" w:ascii="宋体" w:hAnsi="宋体" w:eastAsia="宋体" w:cs="宋体"/>
          <w:b/>
          <w:bCs/>
          <w:color w:val="000000"/>
          <w:sz w:val="24"/>
        </w:rPr>
        <w:t>四</w:t>
      </w:r>
      <w:r>
        <w:rPr>
          <w:rFonts w:hint="eastAsia" w:ascii="宋体" w:hAnsi="宋体" w:cs="宋体"/>
          <w:b/>
          <w:bCs/>
          <w:color w:val="000000"/>
          <w:sz w:val="24"/>
        </w:rPr>
        <w:t>、</w:t>
      </w:r>
      <w:r>
        <w:rPr>
          <w:rFonts w:hint="eastAsia" w:ascii="宋体" w:hAnsi="宋体" w:eastAsia="宋体" w:cs="宋体"/>
          <w:b/>
          <w:bCs/>
          <w:color w:val="000000"/>
          <w:sz w:val="24"/>
        </w:rPr>
        <w:t>甲方责任</w:t>
      </w:r>
    </w:p>
    <w:p w14:paraId="39094234">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w:t>
      </w:r>
      <w:r>
        <w:rPr>
          <w:rFonts w:hint="eastAsia" w:ascii="宋体" w:hAnsi="宋体" w:cs="宋体"/>
          <w:color w:val="000000"/>
          <w:sz w:val="24"/>
        </w:rPr>
        <w:t>.</w:t>
      </w:r>
      <w:r>
        <w:rPr>
          <w:rFonts w:hint="eastAsia" w:ascii="宋体" w:hAnsi="宋体" w:eastAsia="宋体" w:cs="宋体"/>
          <w:color w:val="000000"/>
          <w:sz w:val="24"/>
        </w:rPr>
        <w:t>负责乙方履行合同约定对电梯进行维护保养的监督、检查。</w:t>
      </w:r>
    </w:p>
    <w:p w14:paraId="4E6AF6B9">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2</w:t>
      </w:r>
      <w:r>
        <w:rPr>
          <w:rFonts w:hint="eastAsia" w:ascii="宋体" w:hAnsi="宋体" w:cs="宋体"/>
          <w:color w:val="000000"/>
          <w:sz w:val="24"/>
        </w:rPr>
        <w:t>.</w:t>
      </w:r>
      <w:r>
        <w:rPr>
          <w:rFonts w:hint="eastAsia" w:ascii="宋体" w:hAnsi="宋体" w:eastAsia="宋体" w:cs="宋体"/>
          <w:color w:val="000000"/>
          <w:sz w:val="24"/>
        </w:rPr>
        <w:t>乙方的维护保养达不到合同约定的维护保养标准或要求的，甲方有权拒绝在维护保养记录上签字。</w:t>
      </w:r>
    </w:p>
    <w:p w14:paraId="36259780">
      <w:pPr>
        <w:adjustRightInd w:val="0"/>
        <w:snapToGrid w:val="0"/>
        <w:spacing w:line="360" w:lineRule="auto"/>
        <w:ind w:firstLine="480" w:firstLineChars="200"/>
        <w:rPr>
          <w:rFonts w:ascii="宋体" w:hAnsi="宋体" w:eastAsia="宋体" w:cs="宋体"/>
          <w:color w:val="000000"/>
          <w:kern w:val="0"/>
          <w:sz w:val="24"/>
        </w:rPr>
      </w:pPr>
      <w:r>
        <w:rPr>
          <w:rFonts w:hint="eastAsia" w:ascii="宋体" w:hAnsi="宋体" w:eastAsia="宋体" w:cs="宋体"/>
          <w:color w:val="000000"/>
          <w:sz w:val="24"/>
        </w:rPr>
        <w:t>3</w:t>
      </w:r>
      <w:r>
        <w:rPr>
          <w:rFonts w:hint="eastAsia" w:ascii="宋体" w:hAnsi="宋体" w:cs="宋体"/>
          <w:color w:val="000000"/>
          <w:sz w:val="24"/>
        </w:rPr>
        <w:t>.</w:t>
      </w:r>
      <w:r>
        <w:rPr>
          <w:rFonts w:hint="eastAsia" w:ascii="宋体" w:hAnsi="宋体" w:eastAsia="宋体" w:cs="宋体"/>
          <w:color w:val="000000"/>
          <w:kern w:val="0"/>
          <w:sz w:val="24"/>
        </w:rPr>
        <w:t>应当对每台电梯建立完整的安全技术档案，并供乙方查询,向乙方提供电梯相关资料原件或复印件：甲方指定电梯安全管理人员代表甲方负责对乙方在本合同执行过程中电梯的维保记录及相关维修确认单上进行签字确认。</w:t>
      </w:r>
    </w:p>
    <w:p w14:paraId="34D8DC53">
      <w:pPr>
        <w:adjustRightInd w:val="0"/>
        <w:snapToGrid w:val="0"/>
        <w:spacing w:line="360" w:lineRule="auto"/>
        <w:ind w:firstLine="480" w:firstLineChars="200"/>
        <w:rPr>
          <w:rFonts w:ascii="宋体" w:hAnsi="宋体" w:eastAsia="宋体" w:cs="宋体"/>
          <w:color w:val="000000"/>
          <w:kern w:val="0"/>
          <w:sz w:val="24"/>
        </w:rPr>
      </w:pPr>
      <w:r>
        <w:rPr>
          <w:rFonts w:hint="eastAsia" w:ascii="宋体" w:hAnsi="宋体" w:eastAsia="宋体" w:cs="宋体"/>
          <w:color w:val="000000"/>
          <w:kern w:val="0"/>
          <w:sz w:val="24"/>
        </w:rPr>
        <w:t>4</w:t>
      </w:r>
      <w:r>
        <w:rPr>
          <w:rFonts w:hint="eastAsia" w:ascii="宋体" w:hAnsi="宋体" w:cs="宋体"/>
          <w:color w:val="000000"/>
          <w:kern w:val="0"/>
          <w:sz w:val="24"/>
        </w:rPr>
        <w:t>.</w:t>
      </w:r>
      <w:r>
        <w:rPr>
          <w:rFonts w:hint="eastAsia" w:ascii="宋体" w:hAnsi="宋体" w:eastAsia="宋体" w:cs="宋体"/>
          <w:color w:val="000000"/>
          <w:kern w:val="0"/>
          <w:sz w:val="24"/>
        </w:rPr>
        <w:t>在保养期间，甲方不得委托其它单位或个人（包括乙方的人员）对电梯进行保养及维修。</w:t>
      </w:r>
    </w:p>
    <w:p w14:paraId="0C843A8E">
      <w:pPr>
        <w:adjustRightInd w:val="0"/>
        <w:snapToGrid w:val="0"/>
        <w:spacing w:line="360" w:lineRule="auto"/>
        <w:ind w:firstLine="480" w:firstLineChars="200"/>
        <w:rPr>
          <w:rFonts w:ascii="宋体" w:hAnsi="宋体" w:eastAsia="宋体" w:cs="宋体"/>
          <w:color w:val="000000"/>
          <w:kern w:val="0"/>
          <w:sz w:val="24"/>
        </w:rPr>
      </w:pPr>
      <w:r>
        <w:rPr>
          <w:rFonts w:hint="eastAsia" w:ascii="宋体" w:hAnsi="宋体" w:eastAsia="宋体" w:cs="宋体"/>
          <w:color w:val="000000"/>
          <w:sz w:val="24"/>
        </w:rPr>
        <w:t>5</w:t>
      </w:r>
      <w:r>
        <w:rPr>
          <w:rFonts w:hint="eastAsia" w:ascii="宋体" w:hAnsi="宋体" w:cs="宋体"/>
          <w:color w:val="000000"/>
          <w:sz w:val="24"/>
        </w:rPr>
        <w:t>.</w:t>
      </w:r>
      <w:r>
        <w:rPr>
          <w:rFonts w:hint="eastAsia" w:ascii="宋体" w:hAnsi="宋体" w:eastAsia="宋体" w:cs="宋体"/>
          <w:color w:val="000000"/>
          <w:kern w:val="0"/>
          <w:sz w:val="24"/>
        </w:rPr>
        <w:t>应当为乙方提供维护保养所需的工作环境。</w:t>
      </w:r>
    </w:p>
    <w:p w14:paraId="0C7243E9">
      <w:pPr>
        <w:adjustRightInd w:val="0"/>
        <w:snapToGrid w:val="0"/>
        <w:spacing w:line="360" w:lineRule="auto"/>
        <w:ind w:firstLine="482" w:firstLineChars="200"/>
        <w:rPr>
          <w:rFonts w:ascii="宋体" w:hAnsi="宋体" w:eastAsia="宋体" w:cs="宋体"/>
          <w:b/>
          <w:bCs/>
          <w:color w:val="000000"/>
          <w:kern w:val="0"/>
          <w:sz w:val="24"/>
        </w:rPr>
      </w:pPr>
      <w:r>
        <w:rPr>
          <w:rFonts w:hint="eastAsia" w:ascii="宋体" w:hAnsi="宋体" w:eastAsia="宋体" w:cs="宋体"/>
          <w:b/>
          <w:bCs/>
          <w:color w:val="000000"/>
          <w:sz w:val="24"/>
        </w:rPr>
        <w:t>五、乙方责任</w:t>
      </w:r>
    </w:p>
    <w:p w14:paraId="77E1A038">
      <w:pPr>
        <w:adjustRightInd w:val="0"/>
        <w:snapToGrid w:val="0"/>
        <w:spacing w:line="360" w:lineRule="auto"/>
        <w:ind w:firstLine="480" w:firstLineChars="200"/>
        <w:rPr>
          <w:rFonts w:ascii="宋体" w:hAnsi="宋体" w:eastAsia="宋体" w:cs="宋体"/>
          <w:color w:val="000000"/>
          <w:kern w:val="0"/>
          <w:sz w:val="24"/>
        </w:rPr>
      </w:pPr>
      <w:r>
        <w:rPr>
          <w:rFonts w:hint="eastAsia" w:ascii="宋体" w:hAnsi="宋体" w:eastAsia="宋体" w:cs="宋体"/>
          <w:color w:val="000000"/>
          <w:sz w:val="24"/>
        </w:rPr>
        <w:t>1</w:t>
      </w:r>
      <w:r>
        <w:rPr>
          <w:rFonts w:hint="eastAsia" w:ascii="宋体" w:hAnsi="宋体" w:cs="宋体"/>
          <w:color w:val="000000"/>
          <w:sz w:val="24"/>
        </w:rPr>
        <w:t>.</w:t>
      </w:r>
      <w:r>
        <w:rPr>
          <w:rFonts w:hint="eastAsia" w:ascii="宋体" w:hAnsi="宋体" w:eastAsia="宋体" w:cs="宋体"/>
          <w:color w:val="000000"/>
          <w:sz w:val="24"/>
        </w:rPr>
        <w:t>乙方应指派两人或</w:t>
      </w:r>
      <w:r>
        <w:rPr>
          <w:rFonts w:hint="eastAsia" w:ascii="宋体" w:hAnsi="宋体" w:eastAsia="宋体" w:cs="宋体"/>
          <w:color w:val="000000"/>
          <w:kern w:val="0"/>
          <w:sz w:val="24"/>
        </w:rPr>
        <w:t>两人以上的维护保养技术人员，并应当具备维保资质，持有相应的《特种设备作业人员证》</w:t>
      </w:r>
      <w:r>
        <w:rPr>
          <w:rFonts w:hint="eastAsia" w:ascii="宋体" w:hAnsi="宋体" w:eastAsia="宋体" w:cs="宋体"/>
          <w:color w:val="000000"/>
          <w:sz w:val="24"/>
        </w:rPr>
        <w:t>。</w:t>
      </w:r>
    </w:p>
    <w:p w14:paraId="1BA90573">
      <w:pPr>
        <w:adjustRightInd w:val="0"/>
        <w:snapToGrid w:val="0"/>
        <w:spacing w:line="360" w:lineRule="auto"/>
        <w:ind w:firstLine="480" w:firstLineChars="200"/>
        <w:rPr>
          <w:rFonts w:ascii="宋体" w:hAnsi="宋体" w:eastAsia="宋体" w:cs="宋体"/>
          <w:b/>
          <w:color w:val="000000"/>
          <w:sz w:val="24"/>
        </w:rPr>
      </w:pPr>
      <w:r>
        <w:rPr>
          <w:rFonts w:hint="eastAsia" w:ascii="宋体" w:hAnsi="宋体" w:eastAsia="宋体" w:cs="宋体"/>
          <w:color w:val="000000"/>
          <w:sz w:val="24"/>
        </w:rPr>
        <w:t>2</w:t>
      </w:r>
      <w:r>
        <w:rPr>
          <w:rFonts w:hint="eastAsia" w:ascii="宋体" w:hAnsi="宋体" w:cs="宋体"/>
          <w:color w:val="000000"/>
          <w:sz w:val="24"/>
        </w:rPr>
        <w:t>.</w:t>
      </w:r>
      <w:r>
        <w:rPr>
          <w:rFonts w:hint="eastAsia" w:ascii="宋体" w:hAnsi="宋体" w:eastAsia="宋体" w:cs="宋体"/>
          <w:color w:val="000000"/>
          <w:sz w:val="24"/>
        </w:rPr>
        <w:t>在保养期间内，应定期对电梯设备的相应项目进行巡检和维修保养，除人为损坏和人力不可抗拒因素外，乙方应无条件保证电梯安全正常使用，并承担相应的责任。</w:t>
      </w:r>
    </w:p>
    <w:p w14:paraId="472A3F61">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3</w:t>
      </w:r>
      <w:r>
        <w:rPr>
          <w:rFonts w:hint="eastAsia" w:ascii="宋体" w:hAnsi="宋体" w:cs="宋体"/>
          <w:color w:val="000000"/>
          <w:sz w:val="24"/>
        </w:rPr>
        <w:t>.</w:t>
      </w:r>
      <w:r>
        <w:rPr>
          <w:rFonts w:hint="eastAsia" w:ascii="宋体" w:hAnsi="宋体" w:eastAsia="宋体" w:cs="宋体"/>
          <w:color w:val="000000"/>
          <w:kern w:val="0"/>
          <w:sz w:val="24"/>
        </w:rPr>
        <w:t>接到故障通知后，应当30分钟内赶赴现场进行处理；电梯困人时，应当</w:t>
      </w:r>
      <w:r>
        <w:rPr>
          <w:rFonts w:hint="eastAsia" w:ascii="宋体" w:hAnsi="宋体" w:eastAsia="宋体" w:cs="宋体"/>
          <w:color w:val="000000"/>
          <w:sz w:val="24"/>
        </w:rPr>
        <w:t>20分钟抵达现场。</w:t>
      </w:r>
    </w:p>
    <w:p w14:paraId="01D1BB65">
      <w:pPr>
        <w:adjustRightInd w:val="0"/>
        <w:snapToGrid w:val="0"/>
        <w:spacing w:line="360" w:lineRule="auto"/>
        <w:ind w:firstLine="480" w:firstLineChars="200"/>
        <w:rPr>
          <w:rFonts w:ascii="宋体" w:hAnsi="宋体" w:eastAsia="宋体" w:cs="宋体"/>
          <w:color w:val="000000"/>
          <w:kern w:val="0"/>
          <w:sz w:val="24"/>
        </w:rPr>
      </w:pPr>
      <w:r>
        <w:rPr>
          <w:rFonts w:hint="eastAsia" w:ascii="宋体" w:hAnsi="宋体" w:eastAsia="宋体" w:cs="宋体"/>
          <w:color w:val="000000"/>
          <w:kern w:val="0"/>
          <w:sz w:val="24"/>
        </w:rPr>
        <w:t>4</w:t>
      </w:r>
      <w:r>
        <w:rPr>
          <w:rFonts w:hint="eastAsia" w:ascii="宋体" w:hAnsi="宋体" w:cs="宋体"/>
          <w:color w:val="000000"/>
          <w:kern w:val="0"/>
          <w:sz w:val="24"/>
        </w:rPr>
        <w:t>.</w:t>
      </w:r>
      <w:r>
        <w:rPr>
          <w:rFonts w:hint="eastAsia" w:ascii="宋体" w:hAnsi="宋体" w:eastAsia="宋体" w:cs="宋体"/>
          <w:color w:val="000000"/>
          <w:kern w:val="0"/>
          <w:sz w:val="24"/>
        </w:rPr>
        <w:t>作业中应当负责落实现场安全防护措施，保证作业安全。</w:t>
      </w:r>
    </w:p>
    <w:p w14:paraId="523117FA">
      <w:pPr>
        <w:adjustRightInd w:val="0"/>
        <w:snapToGrid w:val="0"/>
        <w:spacing w:line="360" w:lineRule="auto"/>
        <w:ind w:firstLine="480" w:firstLineChars="200"/>
        <w:rPr>
          <w:rFonts w:ascii="宋体" w:hAnsi="宋体" w:eastAsia="宋体" w:cs="宋体"/>
          <w:kern w:val="0"/>
          <w:sz w:val="24"/>
        </w:rPr>
      </w:pPr>
      <w:r>
        <w:rPr>
          <w:rFonts w:hint="eastAsia" w:ascii="宋体" w:hAnsi="宋体" w:eastAsia="宋体" w:cs="宋体"/>
          <w:color w:val="333333"/>
          <w:sz w:val="24"/>
        </w:rPr>
        <w:t>5</w:t>
      </w:r>
      <w:r>
        <w:rPr>
          <w:rFonts w:hint="eastAsia" w:ascii="宋体" w:hAnsi="宋体" w:cs="宋体"/>
          <w:color w:val="333333"/>
          <w:sz w:val="24"/>
        </w:rPr>
        <w:t>.</w:t>
      </w:r>
      <w:r>
        <w:rPr>
          <w:rFonts w:hint="eastAsia" w:ascii="宋体" w:hAnsi="宋体" w:eastAsia="宋体" w:cs="宋体"/>
          <w:color w:val="000000"/>
          <w:sz w:val="24"/>
        </w:rPr>
        <w:t>向甲方提出合理化建议并</w:t>
      </w:r>
      <w:r>
        <w:rPr>
          <w:rFonts w:hint="eastAsia" w:ascii="宋体" w:hAnsi="宋体" w:eastAsia="宋体" w:cs="宋体"/>
          <w:color w:val="000000"/>
          <w:kern w:val="0"/>
          <w:sz w:val="24"/>
        </w:rPr>
        <w:t>每月向甲方书面报告所维护保养电梯的运行情况、零部件使用情况、易损件的更换情况及</w:t>
      </w:r>
      <w:r>
        <w:rPr>
          <w:rFonts w:hint="eastAsia" w:ascii="宋体" w:hAnsi="宋体" w:eastAsia="宋体" w:cs="宋体"/>
          <w:color w:val="000000"/>
          <w:sz w:val="24"/>
        </w:rPr>
        <w:t>电梯更换修理需求</w:t>
      </w:r>
      <w:r>
        <w:rPr>
          <w:rFonts w:hint="eastAsia" w:ascii="宋体" w:hAnsi="宋体" w:eastAsia="宋体" w:cs="宋体"/>
          <w:color w:val="000000"/>
          <w:kern w:val="0"/>
          <w:sz w:val="24"/>
        </w:rPr>
        <w:t>，在维修保养过程中发生电梯零部件</w:t>
      </w:r>
      <w:r>
        <w:rPr>
          <w:rFonts w:hint="eastAsia" w:ascii="宋体" w:hAnsi="宋体" w:eastAsia="宋体" w:cs="宋体"/>
          <w:kern w:val="0"/>
          <w:sz w:val="24"/>
        </w:rPr>
        <w:t>（1000元以上）的更换，应书面通知甲方并得到甲方确认签字后，按实际费用进行结算。</w:t>
      </w:r>
    </w:p>
    <w:p w14:paraId="414B6739">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sz w:val="24"/>
        </w:rPr>
        <w:t>6</w:t>
      </w:r>
      <w:r>
        <w:rPr>
          <w:rFonts w:hint="eastAsia" w:ascii="宋体" w:hAnsi="宋体" w:cs="宋体"/>
          <w:sz w:val="24"/>
        </w:rPr>
        <w:t>.</w:t>
      </w:r>
      <w:r>
        <w:rPr>
          <w:rFonts w:hint="eastAsia" w:ascii="宋体" w:hAnsi="宋体" w:eastAsia="宋体" w:cs="宋体"/>
          <w:sz w:val="24"/>
        </w:rPr>
        <w:t>按政府规定要求完成上述电梯的年检以及电梯的125％额定载重量制动试验、限速器校验等一切试验与测试；遇到电梯自检年时，维保单位需向特检院申报并委托特检院进行检测；对学校电梯进行台账管理，按要求做好电梯维保记录。承担部分电梯维修材料费</w:t>
      </w:r>
      <w:r>
        <w:rPr>
          <w:rFonts w:hint="eastAsia" w:ascii="宋体" w:hAnsi="宋体" w:eastAsia="宋体" w:cs="宋体"/>
          <w:color w:val="000000"/>
          <w:sz w:val="24"/>
        </w:rPr>
        <w:t>。维保过程中需要的辅材以及需维修的价值1000元（含1000元,材料清单）以下的配件和电梯年检、限速器效验及125％额定载重量制动试验费用由电梯维保公司负责免费承担。超出该范围的另行报价并经使用方认质认价后甲方付费更换。</w:t>
      </w:r>
    </w:p>
    <w:p w14:paraId="02533453">
      <w:pPr>
        <w:adjustRightInd w:val="0"/>
        <w:snapToGrid w:val="0"/>
        <w:spacing w:line="360" w:lineRule="auto"/>
        <w:ind w:firstLine="480" w:firstLineChars="200"/>
        <w:rPr>
          <w:rFonts w:ascii="宋体" w:hAnsi="宋体" w:eastAsia="宋体" w:cs="宋体"/>
          <w:color w:val="000000"/>
          <w:kern w:val="0"/>
          <w:sz w:val="24"/>
        </w:rPr>
      </w:pPr>
      <w:r>
        <w:rPr>
          <w:rFonts w:hint="eastAsia" w:ascii="宋体" w:hAnsi="宋体" w:eastAsia="宋体" w:cs="宋体"/>
          <w:color w:val="000000"/>
          <w:sz w:val="24"/>
        </w:rPr>
        <w:t>7</w:t>
      </w:r>
      <w:r>
        <w:rPr>
          <w:rFonts w:hint="eastAsia" w:ascii="宋体" w:hAnsi="宋体" w:cs="宋体"/>
          <w:color w:val="000000"/>
          <w:sz w:val="24"/>
        </w:rPr>
        <w:t>.</w:t>
      </w:r>
      <w:r>
        <w:rPr>
          <w:rFonts w:hint="eastAsia" w:ascii="宋体" w:hAnsi="宋体" w:eastAsia="宋体" w:cs="宋体"/>
          <w:color w:val="000000"/>
          <w:kern w:val="0"/>
          <w:sz w:val="24"/>
        </w:rPr>
        <w:t>对所维护保养电梯的安全运行负责，保障设备整机及零部件完整无损。</w:t>
      </w:r>
    </w:p>
    <w:p w14:paraId="3A723CE8">
      <w:pPr>
        <w:adjustRightInd w:val="0"/>
        <w:snapToGrid w:val="0"/>
        <w:spacing w:line="360" w:lineRule="auto"/>
        <w:ind w:firstLine="480" w:firstLineChars="200"/>
        <w:rPr>
          <w:rFonts w:ascii="宋体" w:hAnsi="宋体" w:eastAsia="宋体" w:cs="宋体"/>
          <w:color w:val="000000"/>
          <w:kern w:val="0"/>
          <w:sz w:val="24"/>
        </w:rPr>
      </w:pPr>
      <w:r>
        <w:rPr>
          <w:rFonts w:hint="eastAsia" w:ascii="宋体" w:hAnsi="宋体" w:eastAsia="宋体" w:cs="宋体"/>
          <w:color w:val="000000"/>
          <w:kern w:val="0"/>
          <w:sz w:val="24"/>
        </w:rPr>
        <w:t>8</w:t>
      </w:r>
      <w:r>
        <w:rPr>
          <w:rFonts w:hint="eastAsia" w:ascii="宋体" w:hAnsi="宋体" w:cs="宋体"/>
          <w:color w:val="000000"/>
          <w:kern w:val="0"/>
          <w:sz w:val="24"/>
        </w:rPr>
        <w:t>.</w:t>
      </w:r>
      <w:r>
        <w:rPr>
          <w:rFonts w:hint="eastAsia" w:ascii="宋体" w:hAnsi="宋体" w:eastAsia="宋体" w:cs="宋体"/>
          <w:color w:val="000000"/>
          <w:kern w:val="0"/>
          <w:sz w:val="24"/>
        </w:rPr>
        <w:t>建立回访制度（包括工作人员服务态度、维修质量、是否按照规定实施维护保养等）。</w:t>
      </w:r>
    </w:p>
    <w:p w14:paraId="4338B524">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kern w:val="0"/>
          <w:sz w:val="24"/>
        </w:rPr>
        <w:t>9</w:t>
      </w:r>
      <w:r>
        <w:rPr>
          <w:rFonts w:hint="eastAsia" w:ascii="宋体" w:hAnsi="宋体" w:cs="宋体"/>
          <w:color w:val="000000"/>
          <w:kern w:val="0"/>
          <w:sz w:val="24"/>
        </w:rPr>
        <w:t>.</w:t>
      </w:r>
      <w:r>
        <w:rPr>
          <w:rFonts w:hint="eastAsia" w:ascii="宋体" w:hAnsi="宋体" w:eastAsia="宋体" w:cs="宋体"/>
          <w:color w:val="000000"/>
          <w:kern w:val="0"/>
          <w:sz w:val="24"/>
        </w:rPr>
        <w:t>配合电梯检验检测机构对电梯的定期检验，并</w:t>
      </w:r>
      <w:r>
        <w:rPr>
          <w:rFonts w:hint="eastAsia" w:ascii="宋体" w:hAnsi="宋体" w:eastAsia="宋体" w:cs="宋体"/>
          <w:color w:val="000000"/>
          <w:sz w:val="24"/>
        </w:rPr>
        <w:t>参与电梯安全管理活动。</w:t>
      </w:r>
    </w:p>
    <w:p w14:paraId="02827F03">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kern w:val="0"/>
          <w:sz w:val="24"/>
        </w:rPr>
        <w:t>10</w:t>
      </w:r>
      <w:r>
        <w:rPr>
          <w:rFonts w:hint="eastAsia" w:ascii="宋体" w:hAnsi="宋体" w:cs="宋体"/>
          <w:color w:val="000000"/>
          <w:kern w:val="0"/>
          <w:sz w:val="24"/>
        </w:rPr>
        <w:t>.</w:t>
      </w:r>
      <w:r>
        <w:rPr>
          <w:rFonts w:hint="eastAsia" w:ascii="宋体" w:hAnsi="宋体" w:eastAsia="宋体" w:cs="宋体"/>
          <w:color w:val="000000"/>
          <w:kern w:val="0"/>
          <w:sz w:val="24"/>
        </w:rPr>
        <w:t>应当制定电梯事故应急防范措施和救援预案并定期演练。</w:t>
      </w:r>
    </w:p>
    <w:p w14:paraId="3BB2F4AE">
      <w:pPr>
        <w:adjustRightInd w:val="0"/>
        <w:snapToGrid w:val="0"/>
        <w:spacing w:line="360" w:lineRule="auto"/>
        <w:ind w:firstLine="480" w:firstLineChars="200"/>
        <w:rPr>
          <w:rFonts w:ascii="宋体" w:hAnsi="宋体" w:eastAsia="宋体" w:cs="宋体"/>
          <w:color w:val="000000"/>
          <w:kern w:val="0"/>
          <w:sz w:val="24"/>
        </w:rPr>
      </w:pPr>
      <w:r>
        <w:rPr>
          <w:rFonts w:hint="eastAsia" w:ascii="宋体" w:hAnsi="宋体" w:eastAsia="宋体" w:cs="宋体"/>
          <w:color w:val="000000"/>
          <w:sz w:val="24"/>
        </w:rPr>
        <w:t>11</w:t>
      </w:r>
      <w:r>
        <w:rPr>
          <w:rFonts w:hint="eastAsia" w:ascii="宋体" w:hAnsi="宋体" w:cs="宋体"/>
          <w:color w:val="000000"/>
          <w:sz w:val="24"/>
        </w:rPr>
        <w:t>.</w:t>
      </w:r>
      <w:r>
        <w:rPr>
          <w:rFonts w:hint="eastAsia" w:ascii="宋体" w:hAnsi="宋体" w:eastAsia="宋体" w:cs="宋体"/>
          <w:color w:val="000000"/>
          <w:sz w:val="24"/>
        </w:rPr>
        <w:t>应当妥善保管电梯图纸及相关资料，并在合同终止后交还甲方。</w:t>
      </w:r>
    </w:p>
    <w:p w14:paraId="43EA8A80">
      <w:pPr>
        <w:adjustRightInd w:val="0"/>
        <w:snapToGrid w:val="0"/>
        <w:spacing w:line="360" w:lineRule="auto"/>
        <w:ind w:firstLine="482" w:firstLineChars="200"/>
        <w:rPr>
          <w:rFonts w:ascii="宋体" w:hAnsi="宋体" w:eastAsia="宋体" w:cs="宋体"/>
          <w:b/>
          <w:bCs/>
          <w:color w:val="000000"/>
          <w:kern w:val="0"/>
          <w:sz w:val="24"/>
        </w:rPr>
      </w:pPr>
      <w:r>
        <w:rPr>
          <w:rFonts w:hint="eastAsia" w:ascii="宋体" w:hAnsi="宋体" w:eastAsia="宋体" w:cs="宋体"/>
          <w:b/>
          <w:bCs/>
          <w:color w:val="000000"/>
          <w:sz w:val="24"/>
        </w:rPr>
        <w:t>六、 违约责任</w:t>
      </w:r>
    </w:p>
    <w:p w14:paraId="7F280B08">
      <w:pPr>
        <w:adjustRightInd w:val="0"/>
        <w:snapToGrid w:val="0"/>
        <w:spacing w:line="360" w:lineRule="auto"/>
        <w:ind w:firstLine="480" w:firstLineChars="200"/>
        <w:rPr>
          <w:rFonts w:ascii="宋体" w:hAnsi="宋体" w:eastAsia="宋体" w:cs="宋体"/>
          <w:color w:val="000000"/>
          <w:kern w:val="0"/>
          <w:sz w:val="24"/>
        </w:rPr>
      </w:pPr>
      <w:r>
        <w:rPr>
          <w:rFonts w:hint="eastAsia" w:ascii="宋体" w:hAnsi="宋体" w:eastAsia="宋体" w:cs="宋体"/>
          <w:color w:val="000000"/>
          <w:kern w:val="0"/>
          <w:sz w:val="24"/>
        </w:rPr>
        <w:t>1</w:t>
      </w:r>
      <w:r>
        <w:rPr>
          <w:rFonts w:hint="eastAsia" w:ascii="宋体" w:hAnsi="宋体" w:cs="宋体"/>
          <w:color w:val="000000"/>
          <w:kern w:val="0"/>
          <w:sz w:val="24"/>
        </w:rPr>
        <w:t>.</w:t>
      </w:r>
      <w:r>
        <w:rPr>
          <w:rFonts w:hint="eastAsia" w:ascii="宋体" w:hAnsi="宋体" w:eastAsia="宋体" w:cs="宋体"/>
          <w:color w:val="000000"/>
          <w:kern w:val="0"/>
          <w:sz w:val="24"/>
        </w:rPr>
        <w:t>乙方的维护保养工作不符合</w:t>
      </w:r>
      <w:r>
        <w:rPr>
          <w:rFonts w:hint="eastAsia" w:ascii="宋体" w:hAnsi="宋体" w:eastAsia="宋体" w:cs="宋体"/>
          <w:color w:val="000000"/>
          <w:sz w:val="24"/>
        </w:rPr>
        <w:t>合同约定的维护保养标准或要求的</w:t>
      </w:r>
      <w:r>
        <w:rPr>
          <w:rFonts w:hint="eastAsia" w:ascii="宋体" w:hAnsi="宋体" w:eastAsia="宋体" w:cs="宋体"/>
          <w:color w:val="000000"/>
          <w:kern w:val="0"/>
          <w:sz w:val="24"/>
        </w:rPr>
        <w:t>，乙方应当</w:t>
      </w:r>
      <w:r>
        <w:rPr>
          <w:rFonts w:hint="eastAsia" w:ascii="宋体" w:hAnsi="宋体" w:eastAsia="宋体" w:cs="宋体"/>
          <w:color w:val="000000"/>
          <w:sz w:val="24"/>
        </w:rPr>
        <w:t>返工，并</w:t>
      </w:r>
      <w:r>
        <w:rPr>
          <w:rFonts w:hint="eastAsia" w:ascii="宋体" w:hAnsi="宋体" w:eastAsia="宋体" w:cs="宋体"/>
          <w:color w:val="000000"/>
          <w:kern w:val="0"/>
          <w:sz w:val="24"/>
        </w:rPr>
        <w:t>按照</w:t>
      </w:r>
      <w:r>
        <w:rPr>
          <w:rFonts w:hint="eastAsia" w:ascii="宋体" w:hAnsi="宋体" w:eastAsia="宋体" w:cs="宋体"/>
          <w:color w:val="000000"/>
          <w:kern w:val="0"/>
          <w:sz w:val="24"/>
          <w:u w:val="single"/>
        </w:rPr>
        <w:t>乙方给甲方造成的实际损失的</w:t>
      </w:r>
      <w:r>
        <w:rPr>
          <w:rFonts w:hint="eastAsia" w:ascii="宋体" w:hAnsi="宋体" w:eastAsia="宋体" w:cs="宋体"/>
          <w:color w:val="FF0000"/>
          <w:kern w:val="0"/>
          <w:sz w:val="24"/>
          <w:u w:val="single"/>
        </w:rPr>
        <w:t>1</w:t>
      </w:r>
      <w:r>
        <w:rPr>
          <w:rFonts w:hint="eastAsia" w:ascii="宋体" w:hAnsi="宋体" w:eastAsia="宋体" w:cs="宋体"/>
          <w:color w:val="000000"/>
          <w:kern w:val="0"/>
          <w:sz w:val="24"/>
          <w:u w:val="single"/>
        </w:rPr>
        <w:t>倍</w:t>
      </w:r>
      <w:r>
        <w:rPr>
          <w:rFonts w:hint="eastAsia" w:ascii="宋体" w:hAnsi="宋体" w:eastAsia="宋体" w:cs="宋体"/>
          <w:color w:val="000000"/>
          <w:kern w:val="0"/>
          <w:sz w:val="24"/>
        </w:rPr>
        <w:t>标准支付违约金。</w:t>
      </w:r>
    </w:p>
    <w:p w14:paraId="36C61CA8">
      <w:pPr>
        <w:adjustRightInd w:val="0"/>
        <w:snapToGrid w:val="0"/>
        <w:spacing w:line="360" w:lineRule="auto"/>
        <w:ind w:firstLine="480" w:firstLineChars="200"/>
        <w:rPr>
          <w:rFonts w:ascii="宋体" w:hAnsi="宋体" w:eastAsia="宋体" w:cs="宋体"/>
          <w:color w:val="000000"/>
          <w:kern w:val="0"/>
          <w:sz w:val="24"/>
        </w:rPr>
      </w:pPr>
      <w:r>
        <w:rPr>
          <w:rFonts w:hint="eastAsia" w:ascii="宋体" w:hAnsi="宋体" w:eastAsia="宋体" w:cs="宋体"/>
          <w:color w:val="000000"/>
          <w:kern w:val="0"/>
          <w:sz w:val="24"/>
        </w:rPr>
        <w:t>2</w:t>
      </w:r>
      <w:r>
        <w:rPr>
          <w:rFonts w:hint="eastAsia" w:ascii="宋体" w:hAnsi="宋体" w:cs="宋体"/>
          <w:color w:val="000000"/>
          <w:kern w:val="0"/>
          <w:sz w:val="24"/>
        </w:rPr>
        <w:t>.</w:t>
      </w:r>
      <w:r>
        <w:rPr>
          <w:rFonts w:hint="eastAsia" w:ascii="宋体" w:hAnsi="宋体" w:eastAsia="宋体" w:cs="宋体"/>
          <w:color w:val="000000"/>
          <w:kern w:val="0"/>
          <w:sz w:val="24"/>
        </w:rPr>
        <w:t>因维护保养原因导致电梯检验检测不合格，乙方应当承担电梯复验费用。</w:t>
      </w:r>
    </w:p>
    <w:p w14:paraId="4B9082A9">
      <w:pPr>
        <w:adjustRightInd w:val="0"/>
        <w:snapToGrid w:val="0"/>
        <w:spacing w:line="360" w:lineRule="auto"/>
        <w:ind w:firstLine="480" w:firstLineChars="200"/>
        <w:rPr>
          <w:rFonts w:ascii="宋体" w:hAnsi="宋体" w:eastAsia="宋体" w:cs="宋体"/>
          <w:color w:val="000000"/>
          <w:kern w:val="0"/>
          <w:sz w:val="24"/>
          <w:u w:val="single"/>
        </w:rPr>
      </w:pPr>
      <w:r>
        <w:rPr>
          <w:rFonts w:hint="eastAsia" w:ascii="宋体" w:hAnsi="宋体" w:eastAsia="宋体" w:cs="宋体"/>
          <w:color w:val="000000"/>
          <w:kern w:val="0"/>
          <w:sz w:val="24"/>
        </w:rPr>
        <w:t>3</w:t>
      </w:r>
      <w:r>
        <w:rPr>
          <w:rFonts w:hint="eastAsia" w:ascii="宋体" w:hAnsi="宋体" w:cs="宋体"/>
          <w:color w:val="000000"/>
          <w:kern w:val="0"/>
          <w:sz w:val="24"/>
        </w:rPr>
        <w:t>.</w:t>
      </w:r>
      <w:r>
        <w:rPr>
          <w:rFonts w:hint="eastAsia" w:ascii="宋体" w:hAnsi="宋体" w:eastAsia="宋体" w:cs="宋体"/>
          <w:color w:val="000000"/>
          <w:kern w:val="0"/>
          <w:sz w:val="24"/>
        </w:rPr>
        <w:t>经国家授权部门鉴定确因维护保养原因导致人身伤亡或设备损坏、丢失的，</w:t>
      </w:r>
      <w:r>
        <w:rPr>
          <w:rFonts w:hint="eastAsia" w:ascii="宋体" w:hAnsi="宋体" w:eastAsia="宋体" w:cs="宋体"/>
          <w:color w:val="000000"/>
          <w:sz w:val="24"/>
        </w:rPr>
        <w:t>由乙方承担相应责任。</w:t>
      </w:r>
    </w:p>
    <w:p w14:paraId="0E3693E3">
      <w:pPr>
        <w:adjustRightInd w:val="0"/>
        <w:snapToGrid w:val="0"/>
        <w:spacing w:line="360" w:lineRule="auto"/>
        <w:ind w:firstLine="482" w:firstLineChars="200"/>
        <w:rPr>
          <w:rFonts w:ascii="宋体" w:hAnsi="宋体" w:eastAsia="宋体" w:cs="宋体"/>
          <w:b/>
          <w:bCs/>
          <w:color w:val="000000"/>
          <w:sz w:val="24"/>
        </w:rPr>
      </w:pPr>
      <w:r>
        <w:rPr>
          <w:rFonts w:hint="eastAsia" w:ascii="宋体" w:hAnsi="宋体" w:eastAsia="宋体" w:cs="宋体"/>
          <w:b/>
          <w:bCs/>
          <w:color w:val="000000"/>
          <w:sz w:val="24"/>
        </w:rPr>
        <w:t>七、争议解决方式</w:t>
      </w:r>
    </w:p>
    <w:p w14:paraId="6FF96923">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本合同在履行过程中发生的争议，由双方当事人协商解决或向有关部门申请调解，协商、调解不成的，按照下列方式解决：</w:t>
      </w:r>
    </w:p>
    <w:p w14:paraId="43B05F85">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依法向</w:t>
      </w:r>
      <w:r>
        <w:rPr>
          <w:rFonts w:hint="eastAsia" w:ascii="宋体" w:hAnsi="宋体" w:cs="宋体"/>
          <w:color w:val="000000"/>
          <w:sz w:val="24"/>
          <w:u w:val="single"/>
        </w:rPr>
        <w:t>甲方</w:t>
      </w:r>
      <w:r>
        <w:rPr>
          <w:rFonts w:hint="eastAsia" w:ascii="宋体" w:hAnsi="宋体" w:eastAsia="宋体" w:cs="宋体"/>
          <w:color w:val="000000"/>
          <w:sz w:val="24"/>
          <w:u w:val="single"/>
        </w:rPr>
        <w:t>所在地</w:t>
      </w:r>
      <w:r>
        <w:rPr>
          <w:rFonts w:hint="eastAsia" w:ascii="宋体" w:hAnsi="宋体" w:eastAsia="宋体" w:cs="宋体"/>
          <w:color w:val="000000"/>
          <w:sz w:val="24"/>
        </w:rPr>
        <w:t>人民法院起诉；</w:t>
      </w:r>
    </w:p>
    <w:p w14:paraId="498AC38E">
      <w:pPr>
        <w:adjustRightInd w:val="0"/>
        <w:snapToGrid w:val="0"/>
        <w:spacing w:line="360" w:lineRule="auto"/>
        <w:ind w:firstLine="482" w:firstLineChars="200"/>
        <w:rPr>
          <w:rFonts w:ascii="宋体" w:hAnsi="宋体" w:eastAsia="宋体" w:cs="宋体"/>
          <w:b/>
          <w:bCs/>
          <w:color w:val="000000"/>
          <w:sz w:val="24"/>
        </w:rPr>
      </w:pPr>
      <w:r>
        <w:rPr>
          <w:rFonts w:hint="eastAsia" w:ascii="宋体" w:hAnsi="宋体" w:eastAsia="宋体" w:cs="宋体"/>
          <w:b/>
          <w:bCs/>
          <w:color w:val="000000"/>
          <w:sz w:val="24"/>
        </w:rPr>
        <w:t>八、其他约定</w:t>
      </w:r>
    </w:p>
    <w:p w14:paraId="2481DCE4">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kern w:val="0"/>
          <w:sz w:val="24"/>
        </w:rPr>
        <w:t>1、普通维修、重大维修、改造或</w:t>
      </w:r>
      <w:r>
        <w:rPr>
          <w:rFonts w:hint="eastAsia" w:ascii="宋体" w:hAnsi="宋体" w:eastAsia="宋体" w:cs="宋体"/>
          <w:color w:val="000000"/>
          <w:sz w:val="24"/>
        </w:rPr>
        <w:t>甲方要求乙方提供本合同约定以外增值服务的，双方应以书面形式另行约定。</w:t>
      </w:r>
    </w:p>
    <w:p w14:paraId="7353C10E">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2</w:t>
      </w:r>
      <w:r>
        <w:rPr>
          <w:rFonts w:hint="eastAsia" w:ascii="宋体" w:hAnsi="宋体" w:cs="宋体"/>
          <w:color w:val="000000"/>
          <w:sz w:val="24"/>
        </w:rPr>
        <w:t>.</w:t>
      </w:r>
      <w:r>
        <w:rPr>
          <w:rFonts w:hint="eastAsia" w:ascii="宋体" w:hAnsi="宋体" w:eastAsia="宋体" w:cs="宋体"/>
          <w:bCs/>
          <w:kern w:val="44"/>
          <w:sz w:val="24"/>
        </w:rPr>
        <w:t>若服务期满后，甲方对乙方服务满意且后续预算落实的情况下，甲方可选择与乙方续签为期12个月的服务期。若第一次续签服务期满后，甲方仍对乙方服务满意且后续预算落实的情况下，甲方可选择第二次与乙方续签为期12个月的服务期。总服务期限不超过三年。</w:t>
      </w:r>
    </w:p>
    <w:p w14:paraId="562D086A">
      <w:pPr>
        <w:adjustRightInd w:val="0"/>
        <w:snapToGrid w:val="0"/>
        <w:spacing w:line="360" w:lineRule="auto"/>
        <w:ind w:firstLine="482" w:firstLineChars="200"/>
        <w:rPr>
          <w:rFonts w:ascii="宋体" w:hAnsi="宋体" w:eastAsia="宋体" w:cs="宋体"/>
          <w:b/>
          <w:bCs/>
          <w:color w:val="000000"/>
          <w:sz w:val="24"/>
          <w:u w:val="single"/>
        </w:rPr>
      </w:pPr>
      <w:r>
        <w:rPr>
          <w:rFonts w:hint="eastAsia" w:ascii="宋体" w:hAnsi="宋体" w:eastAsia="宋体" w:cs="宋体"/>
          <w:b/>
          <w:bCs/>
          <w:color w:val="000000"/>
          <w:sz w:val="24"/>
        </w:rPr>
        <w:t>九、附则</w:t>
      </w:r>
    </w:p>
    <w:p w14:paraId="04886618">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color w:val="000000"/>
          <w:sz w:val="24"/>
        </w:rPr>
        <w:t>本合同自经双方签字、盖章后生效，合同生效后双方对合同内容的变更或补充应当采取书面形式，并经双方签字盖章确认，作为本合同的附件。附件与本合同具有同等的法律效力。本合同一式</w:t>
      </w:r>
      <w:r>
        <w:rPr>
          <w:rFonts w:hint="eastAsia" w:ascii="宋体" w:hAnsi="宋体" w:eastAsia="宋体" w:cs="宋体"/>
          <w:color w:val="000000"/>
          <w:sz w:val="24"/>
          <w:u w:val="single"/>
        </w:rPr>
        <w:t>陆</w:t>
      </w:r>
      <w:r>
        <w:rPr>
          <w:rFonts w:hint="eastAsia" w:ascii="宋体" w:hAnsi="宋体" w:eastAsia="宋体" w:cs="宋体"/>
          <w:color w:val="000000"/>
          <w:sz w:val="24"/>
        </w:rPr>
        <w:t>份，甲方执</w:t>
      </w:r>
      <w:r>
        <w:rPr>
          <w:rFonts w:hint="eastAsia" w:ascii="宋体" w:hAnsi="宋体" w:eastAsia="宋体" w:cs="宋体"/>
          <w:color w:val="000000"/>
          <w:sz w:val="24"/>
          <w:u w:val="single"/>
        </w:rPr>
        <w:t xml:space="preserve"> 肆 </w:t>
      </w:r>
      <w:r>
        <w:rPr>
          <w:rFonts w:hint="eastAsia" w:ascii="宋体" w:hAnsi="宋体" w:eastAsia="宋体" w:cs="宋体"/>
          <w:color w:val="000000"/>
          <w:sz w:val="24"/>
        </w:rPr>
        <w:t>份，乙方执</w:t>
      </w:r>
      <w:r>
        <w:rPr>
          <w:rFonts w:hint="eastAsia" w:ascii="宋体" w:hAnsi="宋体" w:eastAsia="宋体" w:cs="宋体"/>
          <w:color w:val="000000"/>
          <w:sz w:val="24"/>
          <w:u w:val="single"/>
        </w:rPr>
        <w:t xml:space="preserve"> 贰 </w:t>
      </w:r>
      <w:r>
        <w:rPr>
          <w:rFonts w:hint="eastAsia" w:ascii="宋体" w:hAnsi="宋体" w:eastAsia="宋体" w:cs="宋体"/>
          <w:color w:val="000000"/>
          <w:sz w:val="24"/>
        </w:rPr>
        <w:t>份。</w:t>
      </w:r>
    </w:p>
    <w:p w14:paraId="7CD31688">
      <w:pPr>
        <w:adjustRightInd w:val="0"/>
        <w:snapToGrid w:val="0"/>
        <w:spacing w:line="360" w:lineRule="auto"/>
        <w:ind w:firstLine="480" w:firstLineChars="200"/>
        <w:jc w:val="left"/>
        <w:rPr>
          <w:rFonts w:ascii="宋体" w:hAnsi="宋体" w:eastAsia="宋体" w:cs="宋体"/>
          <w:sz w:val="24"/>
        </w:rPr>
      </w:pPr>
      <w:r>
        <w:rPr>
          <w:rFonts w:hint="eastAsia" w:ascii="宋体" w:hAnsi="宋体" w:cs="宋体"/>
          <w:sz w:val="24"/>
        </w:rPr>
        <w:t>（以下无正文）</w:t>
      </w:r>
    </w:p>
    <w:p w14:paraId="75CDD162">
      <w:pPr>
        <w:rPr>
          <w:rFonts w:ascii="宋体" w:hAnsi="宋体" w:eastAsia="宋体" w:cs="宋体"/>
          <w:sz w:val="24"/>
        </w:rPr>
      </w:pPr>
      <w:r>
        <w:rPr>
          <w:rFonts w:hint="eastAsia" w:ascii="宋体" w:hAnsi="宋体" w:eastAsia="宋体" w:cs="宋体"/>
          <w:sz w:val="24"/>
        </w:rPr>
        <w:br w:type="page"/>
      </w:r>
    </w:p>
    <w:p w14:paraId="20577F53">
      <w:pPr>
        <w:adjustRightInd w:val="0"/>
        <w:snapToGrid w:val="0"/>
        <w:spacing w:line="360" w:lineRule="auto"/>
        <w:ind w:firstLine="480" w:firstLineChars="200"/>
        <w:rPr>
          <w:rFonts w:ascii="宋体" w:hAnsi="宋体" w:eastAsia="宋体" w:cs="宋体"/>
          <w:b/>
          <w:color w:val="000000"/>
          <w:sz w:val="24"/>
        </w:rPr>
      </w:pPr>
      <w:r>
        <w:rPr>
          <w:rFonts w:hint="eastAsia" w:ascii="宋体" w:hAnsi="宋体" w:eastAsia="宋体" w:cs="宋体"/>
          <w:sz w:val="24"/>
        </w:rPr>
        <w:t>甲方：西安工程大学                           乙方：</w:t>
      </w:r>
    </w:p>
    <w:p w14:paraId="0E1D70FA">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代表：                                       代表：</w:t>
      </w:r>
    </w:p>
    <w:p w14:paraId="0A75320A">
      <w:pPr>
        <w:adjustRightInd w:val="0"/>
        <w:snapToGrid w:val="0"/>
        <w:spacing w:line="360" w:lineRule="auto"/>
        <w:ind w:firstLine="480" w:firstLineChars="200"/>
        <w:jc w:val="left"/>
        <w:rPr>
          <w:rFonts w:ascii="宋体" w:hAnsi="宋体" w:eastAsia="宋体" w:cs="宋体"/>
          <w:sz w:val="24"/>
        </w:rPr>
      </w:pPr>
    </w:p>
    <w:p w14:paraId="153B5151">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电话：                                       电话：</w:t>
      </w:r>
    </w:p>
    <w:p w14:paraId="36CE338B">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年    月   日                                 年    月    日</w:t>
      </w:r>
    </w:p>
    <w:p w14:paraId="78B7789A">
      <w:pPr>
        <w:spacing w:line="360" w:lineRule="auto"/>
        <w:jc w:val="left"/>
        <w:rPr>
          <w:rFonts w:ascii="仿宋" w:hAnsi="仿宋" w:eastAsia="仿宋" w:cs="仿宋"/>
          <w:sz w:val="24"/>
        </w:rPr>
      </w:pPr>
    </w:p>
    <w:p w14:paraId="73A639F0">
      <w:pPr>
        <w:rPr>
          <w:rFonts w:ascii="仿宋" w:hAnsi="仿宋" w:eastAsia="仿宋" w:cs="仿宋"/>
          <w:sz w:val="24"/>
        </w:rPr>
      </w:pPr>
      <w:r>
        <w:rPr>
          <w:rFonts w:hint="eastAsia" w:ascii="仿宋" w:hAnsi="仿宋" w:eastAsia="仿宋" w:cs="仿宋"/>
          <w:sz w:val="24"/>
        </w:rPr>
        <w:br w:type="page"/>
      </w:r>
    </w:p>
    <w:p w14:paraId="41659983">
      <w:pPr>
        <w:spacing w:line="360" w:lineRule="auto"/>
        <w:jc w:val="left"/>
        <w:rPr>
          <w:rFonts w:ascii="宋体" w:hAnsi="宋体" w:eastAsia="宋体" w:cs="宋体"/>
          <w:b/>
          <w:bCs/>
          <w:sz w:val="24"/>
        </w:rPr>
      </w:pPr>
      <w:r>
        <w:rPr>
          <w:rFonts w:hint="eastAsia" w:ascii="宋体" w:hAnsi="宋体" w:eastAsia="宋体" w:cs="宋体"/>
          <w:b/>
          <w:bCs/>
          <w:sz w:val="24"/>
        </w:rPr>
        <w:t>附件1:乘客电梯、载货电梯日常维护保养项目（内容）和要求</w:t>
      </w:r>
    </w:p>
    <w:p w14:paraId="163A2DDB">
      <w:pPr>
        <w:adjustRightInd w:val="0"/>
        <w:snapToGrid w:val="0"/>
        <w:spacing w:beforeLines="100" w:line="360" w:lineRule="auto"/>
        <w:jc w:val="center"/>
        <w:rPr>
          <w:rFonts w:ascii="宋体" w:hAnsi="宋体" w:eastAsia="宋体" w:cs="宋体"/>
          <w:b/>
          <w:bCs/>
          <w:kern w:val="0"/>
          <w:sz w:val="24"/>
        </w:rPr>
      </w:pPr>
      <w:r>
        <w:rPr>
          <w:rFonts w:hint="eastAsia" w:ascii="宋体" w:hAnsi="宋体" w:eastAsia="宋体" w:cs="宋体"/>
          <w:b/>
          <w:bCs/>
          <w:kern w:val="0"/>
          <w:sz w:val="24"/>
        </w:rPr>
        <w:t>半月维保项目（内容）和要求</w:t>
      </w:r>
    </w:p>
    <w:tbl>
      <w:tblPr>
        <w:tblStyle w:val="2"/>
        <w:tblW w:w="0" w:type="auto"/>
        <w:tblInd w:w="113"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5"/>
        <w:gridCol w:w="4062"/>
        <w:gridCol w:w="4289"/>
      </w:tblGrid>
      <w:tr w14:paraId="70435E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715" w:type="dxa"/>
            <w:noWrap/>
            <w:vAlign w:val="center"/>
          </w:tcPr>
          <w:p w14:paraId="6A7ABE5A">
            <w:pPr>
              <w:widowControl/>
              <w:jc w:val="center"/>
              <w:rPr>
                <w:rFonts w:ascii="宋体" w:hAnsi="宋体" w:eastAsia="宋体" w:cs="宋体"/>
                <w:b/>
                <w:bCs/>
                <w:kern w:val="0"/>
                <w:sz w:val="24"/>
              </w:rPr>
            </w:pPr>
            <w:r>
              <w:rPr>
                <w:rFonts w:hint="eastAsia" w:ascii="宋体" w:hAnsi="宋体" w:eastAsia="宋体" w:cs="宋体"/>
                <w:b/>
                <w:bCs/>
                <w:kern w:val="0"/>
                <w:sz w:val="24"/>
              </w:rPr>
              <w:t>序号</w:t>
            </w:r>
          </w:p>
        </w:tc>
        <w:tc>
          <w:tcPr>
            <w:tcW w:w="4062" w:type="dxa"/>
            <w:noWrap/>
            <w:vAlign w:val="center"/>
          </w:tcPr>
          <w:p w14:paraId="17AEAEEA">
            <w:pPr>
              <w:widowControl/>
              <w:jc w:val="center"/>
              <w:rPr>
                <w:rFonts w:ascii="宋体" w:hAnsi="宋体" w:eastAsia="宋体" w:cs="宋体"/>
                <w:b/>
                <w:bCs/>
                <w:kern w:val="0"/>
                <w:sz w:val="24"/>
              </w:rPr>
            </w:pPr>
            <w:r>
              <w:rPr>
                <w:rFonts w:hint="eastAsia" w:ascii="宋体" w:hAnsi="宋体" w:eastAsia="宋体" w:cs="宋体"/>
                <w:b/>
                <w:bCs/>
                <w:kern w:val="0"/>
                <w:sz w:val="24"/>
              </w:rPr>
              <w:t>维保项目（内容）</w:t>
            </w:r>
          </w:p>
        </w:tc>
        <w:tc>
          <w:tcPr>
            <w:tcW w:w="4289" w:type="dxa"/>
            <w:noWrap/>
            <w:vAlign w:val="center"/>
          </w:tcPr>
          <w:p w14:paraId="347B3EB1">
            <w:pPr>
              <w:widowControl/>
              <w:jc w:val="center"/>
              <w:rPr>
                <w:rFonts w:ascii="宋体" w:hAnsi="宋体" w:eastAsia="宋体" w:cs="宋体"/>
                <w:b/>
                <w:bCs/>
                <w:kern w:val="0"/>
                <w:sz w:val="24"/>
              </w:rPr>
            </w:pPr>
            <w:r>
              <w:rPr>
                <w:rFonts w:hint="eastAsia" w:ascii="宋体" w:hAnsi="宋体" w:eastAsia="宋体" w:cs="宋体"/>
                <w:b/>
                <w:bCs/>
                <w:kern w:val="0"/>
                <w:sz w:val="24"/>
              </w:rPr>
              <w:t>维保基本要求</w:t>
            </w:r>
          </w:p>
        </w:tc>
      </w:tr>
      <w:tr w14:paraId="338FC0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715" w:type="dxa"/>
            <w:noWrap/>
            <w:vAlign w:val="center"/>
          </w:tcPr>
          <w:p w14:paraId="28401EF3">
            <w:pPr>
              <w:widowControl/>
              <w:jc w:val="center"/>
              <w:rPr>
                <w:rFonts w:ascii="宋体" w:hAnsi="宋体" w:eastAsia="宋体" w:cs="宋体"/>
                <w:kern w:val="0"/>
                <w:sz w:val="24"/>
              </w:rPr>
            </w:pPr>
            <w:r>
              <w:rPr>
                <w:rFonts w:hint="eastAsia" w:ascii="宋体" w:hAnsi="宋体" w:eastAsia="宋体" w:cs="宋体"/>
                <w:kern w:val="0"/>
                <w:sz w:val="24"/>
              </w:rPr>
              <w:t>1</w:t>
            </w:r>
          </w:p>
        </w:tc>
        <w:tc>
          <w:tcPr>
            <w:tcW w:w="4062" w:type="dxa"/>
            <w:noWrap/>
            <w:vAlign w:val="center"/>
          </w:tcPr>
          <w:p w14:paraId="695D44E0">
            <w:pPr>
              <w:widowControl/>
              <w:rPr>
                <w:rFonts w:ascii="宋体" w:hAnsi="宋体" w:eastAsia="宋体" w:cs="宋体"/>
                <w:color w:val="000000"/>
                <w:kern w:val="0"/>
                <w:sz w:val="24"/>
              </w:rPr>
            </w:pPr>
            <w:r>
              <w:rPr>
                <w:rFonts w:hint="eastAsia" w:ascii="宋体" w:hAnsi="宋体" w:eastAsia="宋体" w:cs="宋体"/>
                <w:color w:val="000000"/>
                <w:kern w:val="0"/>
                <w:sz w:val="24"/>
              </w:rPr>
              <w:t>机房、滑轮间环境</w:t>
            </w:r>
          </w:p>
        </w:tc>
        <w:tc>
          <w:tcPr>
            <w:tcW w:w="4289" w:type="dxa"/>
            <w:noWrap/>
            <w:vAlign w:val="center"/>
          </w:tcPr>
          <w:p w14:paraId="025E368D">
            <w:pPr>
              <w:widowControl/>
              <w:rPr>
                <w:rFonts w:ascii="宋体" w:hAnsi="宋体" w:eastAsia="宋体" w:cs="宋体"/>
                <w:color w:val="000000"/>
                <w:kern w:val="0"/>
                <w:sz w:val="24"/>
              </w:rPr>
            </w:pPr>
            <w:r>
              <w:rPr>
                <w:rFonts w:hint="eastAsia" w:ascii="宋体" w:hAnsi="宋体" w:eastAsia="宋体" w:cs="宋体"/>
                <w:color w:val="000000"/>
                <w:kern w:val="0"/>
                <w:sz w:val="24"/>
              </w:rPr>
              <w:t>清洁，</w:t>
            </w:r>
            <w:r>
              <w:rPr>
                <w:rFonts w:hint="eastAsia" w:ascii="宋体" w:hAnsi="宋体" w:eastAsia="宋体" w:cs="宋体"/>
                <w:kern w:val="0"/>
                <w:sz w:val="24"/>
              </w:rPr>
              <w:t>门窗完好、照明正常</w:t>
            </w:r>
          </w:p>
        </w:tc>
      </w:tr>
      <w:tr w14:paraId="7E3B6C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715" w:type="dxa"/>
            <w:noWrap/>
            <w:vAlign w:val="center"/>
          </w:tcPr>
          <w:p w14:paraId="4163E4BB">
            <w:pPr>
              <w:widowControl/>
              <w:jc w:val="center"/>
              <w:rPr>
                <w:rFonts w:ascii="宋体" w:hAnsi="宋体" w:eastAsia="宋体" w:cs="宋体"/>
                <w:kern w:val="0"/>
                <w:sz w:val="24"/>
              </w:rPr>
            </w:pPr>
            <w:r>
              <w:rPr>
                <w:rFonts w:hint="eastAsia" w:ascii="宋体" w:hAnsi="宋体" w:eastAsia="宋体" w:cs="宋体"/>
                <w:kern w:val="0"/>
                <w:sz w:val="24"/>
              </w:rPr>
              <w:t>2</w:t>
            </w:r>
          </w:p>
        </w:tc>
        <w:tc>
          <w:tcPr>
            <w:tcW w:w="4062" w:type="dxa"/>
            <w:noWrap/>
            <w:vAlign w:val="center"/>
          </w:tcPr>
          <w:p w14:paraId="537083F6">
            <w:pPr>
              <w:widowControl/>
              <w:rPr>
                <w:rFonts w:ascii="宋体" w:hAnsi="宋体" w:eastAsia="宋体" w:cs="宋体"/>
                <w:color w:val="000000"/>
                <w:kern w:val="0"/>
                <w:sz w:val="24"/>
              </w:rPr>
            </w:pPr>
            <w:r>
              <w:rPr>
                <w:rFonts w:hint="eastAsia" w:ascii="宋体" w:hAnsi="宋体" w:eastAsia="宋体" w:cs="宋体"/>
                <w:color w:val="000000"/>
                <w:kern w:val="0"/>
                <w:sz w:val="24"/>
              </w:rPr>
              <w:t>手动紧急操作装置</w:t>
            </w:r>
          </w:p>
        </w:tc>
        <w:tc>
          <w:tcPr>
            <w:tcW w:w="4289" w:type="dxa"/>
            <w:noWrap/>
            <w:vAlign w:val="center"/>
          </w:tcPr>
          <w:p w14:paraId="28C87F1F">
            <w:pPr>
              <w:widowControl/>
              <w:rPr>
                <w:rFonts w:ascii="宋体" w:hAnsi="宋体" w:eastAsia="宋体" w:cs="宋体"/>
                <w:color w:val="000000"/>
                <w:kern w:val="0"/>
                <w:sz w:val="24"/>
              </w:rPr>
            </w:pPr>
            <w:r>
              <w:rPr>
                <w:rFonts w:hint="eastAsia" w:ascii="宋体" w:hAnsi="宋体" w:eastAsia="宋体" w:cs="宋体"/>
                <w:color w:val="000000"/>
                <w:kern w:val="0"/>
                <w:sz w:val="24"/>
              </w:rPr>
              <w:t>齐全，在指定位置</w:t>
            </w:r>
          </w:p>
        </w:tc>
      </w:tr>
      <w:tr w14:paraId="33F0A4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715" w:type="dxa"/>
            <w:noWrap/>
            <w:vAlign w:val="center"/>
          </w:tcPr>
          <w:p w14:paraId="10799BE0">
            <w:pPr>
              <w:widowControl/>
              <w:jc w:val="center"/>
              <w:rPr>
                <w:rFonts w:ascii="宋体" w:hAnsi="宋体" w:eastAsia="宋体" w:cs="宋体"/>
                <w:kern w:val="0"/>
                <w:sz w:val="24"/>
              </w:rPr>
            </w:pPr>
            <w:r>
              <w:rPr>
                <w:rFonts w:hint="eastAsia" w:ascii="宋体" w:hAnsi="宋体" w:eastAsia="宋体" w:cs="宋体"/>
                <w:kern w:val="0"/>
                <w:sz w:val="24"/>
              </w:rPr>
              <w:t>3</w:t>
            </w:r>
          </w:p>
        </w:tc>
        <w:tc>
          <w:tcPr>
            <w:tcW w:w="4062" w:type="dxa"/>
            <w:noWrap/>
            <w:vAlign w:val="center"/>
          </w:tcPr>
          <w:p w14:paraId="551C7807">
            <w:pPr>
              <w:widowControl/>
              <w:rPr>
                <w:rFonts w:ascii="宋体" w:hAnsi="宋体" w:eastAsia="宋体" w:cs="宋体"/>
                <w:color w:val="000000"/>
                <w:kern w:val="0"/>
                <w:sz w:val="24"/>
              </w:rPr>
            </w:pPr>
            <w:r>
              <w:rPr>
                <w:rFonts w:hint="eastAsia" w:ascii="宋体" w:hAnsi="宋体" w:eastAsia="宋体" w:cs="宋体"/>
                <w:color w:val="000000"/>
                <w:kern w:val="0"/>
                <w:sz w:val="24"/>
              </w:rPr>
              <w:t>曳引机</w:t>
            </w:r>
          </w:p>
        </w:tc>
        <w:tc>
          <w:tcPr>
            <w:tcW w:w="4289" w:type="dxa"/>
            <w:noWrap/>
            <w:vAlign w:val="center"/>
          </w:tcPr>
          <w:p w14:paraId="429381E1">
            <w:pPr>
              <w:widowControl/>
              <w:rPr>
                <w:rFonts w:ascii="宋体" w:hAnsi="宋体" w:eastAsia="宋体" w:cs="宋体"/>
                <w:strike/>
                <w:color w:val="000000"/>
                <w:kern w:val="0"/>
                <w:sz w:val="24"/>
              </w:rPr>
            </w:pPr>
            <w:r>
              <w:rPr>
                <w:rFonts w:hint="eastAsia" w:ascii="宋体" w:hAnsi="宋体" w:eastAsia="宋体" w:cs="宋体"/>
                <w:color w:val="000000"/>
                <w:kern w:val="0"/>
                <w:sz w:val="24"/>
              </w:rPr>
              <w:t>运行时无异常振动和异常声响</w:t>
            </w:r>
          </w:p>
        </w:tc>
      </w:tr>
      <w:tr w14:paraId="4445F1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715" w:type="dxa"/>
            <w:noWrap/>
            <w:vAlign w:val="center"/>
          </w:tcPr>
          <w:p w14:paraId="77B9DAA7">
            <w:pPr>
              <w:jc w:val="center"/>
              <w:rPr>
                <w:rFonts w:ascii="宋体" w:hAnsi="宋体" w:eastAsia="宋体" w:cs="宋体"/>
                <w:kern w:val="0"/>
                <w:sz w:val="24"/>
              </w:rPr>
            </w:pPr>
            <w:r>
              <w:rPr>
                <w:rFonts w:hint="eastAsia" w:ascii="宋体" w:hAnsi="宋体" w:eastAsia="宋体" w:cs="宋体"/>
                <w:kern w:val="0"/>
                <w:sz w:val="24"/>
              </w:rPr>
              <w:t>4</w:t>
            </w:r>
          </w:p>
        </w:tc>
        <w:tc>
          <w:tcPr>
            <w:tcW w:w="4062" w:type="dxa"/>
            <w:noWrap/>
            <w:vAlign w:val="center"/>
          </w:tcPr>
          <w:p w14:paraId="570D0B6E">
            <w:pPr>
              <w:widowControl/>
              <w:rPr>
                <w:rFonts w:ascii="宋体" w:hAnsi="宋体" w:eastAsia="宋体" w:cs="宋体"/>
                <w:color w:val="000000"/>
                <w:kern w:val="0"/>
                <w:sz w:val="24"/>
              </w:rPr>
            </w:pPr>
            <w:r>
              <w:rPr>
                <w:rFonts w:hint="eastAsia" w:ascii="宋体" w:hAnsi="宋体" w:eastAsia="宋体" w:cs="宋体"/>
                <w:color w:val="000000"/>
                <w:kern w:val="0"/>
                <w:sz w:val="24"/>
              </w:rPr>
              <w:t>制动器各销轴部位</w:t>
            </w:r>
          </w:p>
        </w:tc>
        <w:tc>
          <w:tcPr>
            <w:tcW w:w="4289" w:type="dxa"/>
            <w:noWrap/>
            <w:vAlign w:val="center"/>
          </w:tcPr>
          <w:p w14:paraId="31D96F02">
            <w:pPr>
              <w:widowControl/>
              <w:rPr>
                <w:rFonts w:ascii="宋体" w:hAnsi="宋体" w:eastAsia="宋体" w:cs="宋体"/>
                <w:color w:val="000000"/>
                <w:kern w:val="0"/>
                <w:sz w:val="24"/>
              </w:rPr>
            </w:pPr>
            <w:r>
              <w:rPr>
                <w:rFonts w:hint="eastAsia" w:ascii="宋体" w:hAnsi="宋体" w:eastAsia="宋体" w:cs="宋体"/>
                <w:color w:val="000000"/>
                <w:kern w:val="0"/>
                <w:sz w:val="24"/>
              </w:rPr>
              <w:t>润滑，动作灵活</w:t>
            </w:r>
          </w:p>
        </w:tc>
      </w:tr>
      <w:tr w14:paraId="169A1A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715" w:type="dxa"/>
            <w:noWrap/>
            <w:vAlign w:val="center"/>
          </w:tcPr>
          <w:p w14:paraId="38C6F64A">
            <w:pPr>
              <w:widowControl/>
              <w:jc w:val="center"/>
              <w:rPr>
                <w:rFonts w:ascii="宋体" w:hAnsi="宋体" w:eastAsia="宋体" w:cs="宋体"/>
                <w:kern w:val="0"/>
                <w:sz w:val="24"/>
              </w:rPr>
            </w:pPr>
            <w:r>
              <w:rPr>
                <w:rFonts w:hint="eastAsia" w:ascii="宋体" w:hAnsi="宋体" w:eastAsia="宋体" w:cs="宋体"/>
                <w:kern w:val="0"/>
                <w:sz w:val="24"/>
              </w:rPr>
              <w:t>5</w:t>
            </w:r>
          </w:p>
        </w:tc>
        <w:tc>
          <w:tcPr>
            <w:tcW w:w="4062" w:type="dxa"/>
            <w:noWrap/>
            <w:vAlign w:val="center"/>
          </w:tcPr>
          <w:p w14:paraId="4CC6D8DC">
            <w:pPr>
              <w:widowControl/>
              <w:rPr>
                <w:rFonts w:ascii="宋体" w:hAnsi="宋体" w:eastAsia="宋体" w:cs="宋体"/>
                <w:color w:val="000000"/>
                <w:kern w:val="0"/>
                <w:sz w:val="24"/>
              </w:rPr>
            </w:pPr>
            <w:r>
              <w:rPr>
                <w:rFonts w:hint="eastAsia" w:ascii="宋体" w:hAnsi="宋体" w:eastAsia="宋体" w:cs="宋体"/>
                <w:color w:val="000000"/>
                <w:kern w:val="0"/>
                <w:sz w:val="24"/>
              </w:rPr>
              <w:t>制动器间隙</w:t>
            </w:r>
          </w:p>
        </w:tc>
        <w:tc>
          <w:tcPr>
            <w:tcW w:w="4289" w:type="dxa"/>
            <w:noWrap/>
            <w:vAlign w:val="center"/>
          </w:tcPr>
          <w:p w14:paraId="2E92B9BD">
            <w:pPr>
              <w:widowControl/>
              <w:rPr>
                <w:rFonts w:ascii="宋体" w:hAnsi="宋体" w:eastAsia="宋体" w:cs="宋体"/>
                <w:color w:val="000000"/>
                <w:kern w:val="0"/>
                <w:sz w:val="24"/>
              </w:rPr>
            </w:pPr>
            <w:r>
              <w:rPr>
                <w:rFonts w:hint="eastAsia" w:ascii="宋体" w:hAnsi="宋体" w:eastAsia="宋体" w:cs="宋体"/>
                <w:color w:val="000000"/>
                <w:kern w:val="0"/>
                <w:sz w:val="24"/>
              </w:rPr>
              <w:t>打开时制动衬与制动轮不应发生摩擦</w:t>
            </w:r>
          </w:p>
        </w:tc>
      </w:tr>
      <w:tr w14:paraId="52E2A0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715" w:type="dxa"/>
            <w:noWrap/>
            <w:vAlign w:val="center"/>
          </w:tcPr>
          <w:p w14:paraId="66141BA0">
            <w:pPr>
              <w:widowControl/>
              <w:jc w:val="center"/>
              <w:rPr>
                <w:rFonts w:ascii="宋体" w:hAnsi="宋体" w:eastAsia="宋体" w:cs="宋体"/>
                <w:kern w:val="0"/>
                <w:sz w:val="24"/>
              </w:rPr>
            </w:pPr>
            <w:r>
              <w:rPr>
                <w:rFonts w:hint="eastAsia" w:ascii="宋体" w:hAnsi="宋体" w:eastAsia="宋体" w:cs="宋体"/>
                <w:kern w:val="0"/>
                <w:sz w:val="24"/>
              </w:rPr>
              <w:t>6</w:t>
            </w:r>
          </w:p>
        </w:tc>
        <w:tc>
          <w:tcPr>
            <w:tcW w:w="4062" w:type="dxa"/>
            <w:noWrap/>
            <w:vAlign w:val="center"/>
          </w:tcPr>
          <w:p w14:paraId="52C6C543">
            <w:pPr>
              <w:widowControl/>
              <w:rPr>
                <w:rFonts w:ascii="宋体" w:hAnsi="宋体" w:eastAsia="宋体" w:cs="宋体"/>
                <w:color w:val="000000"/>
                <w:kern w:val="0"/>
                <w:sz w:val="24"/>
              </w:rPr>
            </w:pPr>
            <w:r>
              <w:rPr>
                <w:rFonts w:hint="eastAsia" w:ascii="宋体" w:hAnsi="宋体" w:eastAsia="宋体" w:cs="宋体"/>
                <w:color w:val="000000"/>
                <w:kern w:val="0"/>
                <w:sz w:val="24"/>
              </w:rPr>
              <w:t>编码器</w:t>
            </w:r>
          </w:p>
        </w:tc>
        <w:tc>
          <w:tcPr>
            <w:tcW w:w="4289" w:type="dxa"/>
            <w:noWrap/>
            <w:vAlign w:val="center"/>
          </w:tcPr>
          <w:p w14:paraId="7F52EC53">
            <w:pPr>
              <w:widowControl/>
              <w:rPr>
                <w:rFonts w:ascii="宋体" w:hAnsi="宋体" w:eastAsia="宋体" w:cs="宋体"/>
                <w:color w:val="000000"/>
                <w:kern w:val="0"/>
                <w:sz w:val="24"/>
              </w:rPr>
            </w:pPr>
            <w:r>
              <w:rPr>
                <w:rFonts w:hint="eastAsia" w:ascii="宋体" w:hAnsi="宋体" w:eastAsia="宋体" w:cs="宋体"/>
                <w:color w:val="000000"/>
                <w:kern w:val="0"/>
                <w:sz w:val="24"/>
              </w:rPr>
              <w:t>清洁，安装牢固</w:t>
            </w:r>
          </w:p>
        </w:tc>
      </w:tr>
      <w:tr w14:paraId="0BCD5E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715" w:type="dxa"/>
            <w:noWrap/>
            <w:vAlign w:val="center"/>
          </w:tcPr>
          <w:p w14:paraId="7D7405E8">
            <w:pPr>
              <w:widowControl/>
              <w:jc w:val="center"/>
              <w:rPr>
                <w:rFonts w:ascii="宋体" w:hAnsi="宋体" w:eastAsia="宋体" w:cs="宋体"/>
                <w:kern w:val="0"/>
                <w:sz w:val="24"/>
              </w:rPr>
            </w:pPr>
            <w:r>
              <w:rPr>
                <w:rFonts w:hint="eastAsia" w:ascii="宋体" w:hAnsi="宋体" w:eastAsia="宋体" w:cs="宋体"/>
                <w:kern w:val="0"/>
                <w:sz w:val="24"/>
              </w:rPr>
              <w:t>7</w:t>
            </w:r>
          </w:p>
        </w:tc>
        <w:tc>
          <w:tcPr>
            <w:tcW w:w="4062" w:type="dxa"/>
            <w:noWrap/>
            <w:vAlign w:val="center"/>
          </w:tcPr>
          <w:p w14:paraId="1FABE2B2">
            <w:pPr>
              <w:widowControl/>
              <w:rPr>
                <w:rFonts w:ascii="宋体" w:hAnsi="宋体" w:eastAsia="宋体" w:cs="宋体"/>
                <w:color w:val="000000"/>
                <w:kern w:val="0"/>
                <w:sz w:val="24"/>
              </w:rPr>
            </w:pPr>
            <w:r>
              <w:rPr>
                <w:rFonts w:hint="eastAsia" w:ascii="宋体" w:hAnsi="宋体" w:eastAsia="宋体" w:cs="宋体"/>
                <w:color w:val="000000"/>
                <w:kern w:val="0"/>
                <w:sz w:val="24"/>
              </w:rPr>
              <w:t>限速器各销轴部位</w:t>
            </w:r>
          </w:p>
        </w:tc>
        <w:tc>
          <w:tcPr>
            <w:tcW w:w="4289" w:type="dxa"/>
            <w:noWrap/>
            <w:vAlign w:val="center"/>
          </w:tcPr>
          <w:p w14:paraId="5D238139">
            <w:pPr>
              <w:widowControl/>
              <w:rPr>
                <w:rFonts w:ascii="宋体" w:hAnsi="宋体" w:eastAsia="宋体" w:cs="宋体"/>
                <w:color w:val="000000"/>
                <w:kern w:val="0"/>
                <w:sz w:val="24"/>
              </w:rPr>
            </w:pPr>
            <w:r>
              <w:rPr>
                <w:rFonts w:hint="eastAsia" w:ascii="宋体" w:hAnsi="宋体" w:eastAsia="宋体" w:cs="宋体"/>
                <w:color w:val="000000"/>
                <w:kern w:val="0"/>
                <w:sz w:val="24"/>
              </w:rPr>
              <w:t>润滑，转动灵活；电气开关正常</w:t>
            </w:r>
          </w:p>
        </w:tc>
      </w:tr>
      <w:tr w14:paraId="05ADA0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715" w:type="dxa"/>
            <w:noWrap/>
            <w:vAlign w:val="center"/>
          </w:tcPr>
          <w:p w14:paraId="441442F2">
            <w:pPr>
              <w:widowControl/>
              <w:jc w:val="center"/>
              <w:rPr>
                <w:rFonts w:ascii="宋体" w:hAnsi="宋体" w:eastAsia="宋体" w:cs="宋体"/>
                <w:kern w:val="0"/>
                <w:sz w:val="24"/>
              </w:rPr>
            </w:pPr>
            <w:r>
              <w:rPr>
                <w:rFonts w:hint="eastAsia" w:ascii="宋体" w:hAnsi="宋体" w:eastAsia="宋体" w:cs="宋体"/>
                <w:kern w:val="0"/>
                <w:sz w:val="24"/>
              </w:rPr>
              <w:t>8</w:t>
            </w:r>
          </w:p>
        </w:tc>
        <w:tc>
          <w:tcPr>
            <w:tcW w:w="4062" w:type="dxa"/>
            <w:noWrap/>
            <w:vAlign w:val="center"/>
          </w:tcPr>
          <w:p w14:paraId="0CF65573">
            <w:pPr>
              <w:widowControl/>
              <w:rPr>
                <w:rFonts w:ascii="宋体" w:hAnsi="宋体" w:eastAsia="宋体" w:cs="宋体"/>
                <w:color w:val="000000"/>
                <w:kern w:val="0"/>
                <w:sz w:val="24"/>
              </w:rPr>
            </w:pPr>
            <w:r>
              <w:rPr>
                <w:rFonts w:hint="eastAsia" w:ascii="宋体" w:hAnsi="宋体" w:eastAsia="宋体" w:cs="宋体"/>
                <w:color w:val="000000"/>
                <w:kern w:val="0"/>
                <w:sz w:val="24"/>
              </w:rPr>
              <w:t>轿顶</w:t>
            </w:r>
          </w:p>
        </w:tc>
        <w:tc>
          <w:tcPr>
            <w:tcW w:w="4289" w:type="dxa"/>
            <w:noWrap/>
            <w:vAlign w:val="center"/>
          </w:tcPr>
          <w:p w14:paraId="353FC618">
            <w:pPr>
              <w:widowControl/>
              <w:rPr>
                <w:rFonts w:ascii="宋体" w:hAnsi="宋体" w:eastAsia="宋体" w:cs="宋体"/>
                <w:color w:val="000000"/>
                <w:kern w:val="0"/>
                <w:sz w:val="24"/>
              </w:rPr>
            </w:pPr>
            <w:r>
              <w:rPr>
                <w:rFonts w:hint="eastAsia" w:ascii="宋体" w:hAnsi="宋体" w:eastAsia="宋体" w:cs="宋体"/>
                <w:color w:val="000000"/>
                <w:kern w:val="0"/>
                <w:sz w:val="24"/>
              </w:rPr>
              <w:t>清洁，防护拦安全可靠</w:t>
            </w:r>
          </w:p>
        </w:tc>
      </w:tr>
      <w:tr w14:paraId="57D603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715" w:type="dxa"/>
            <w:noWrap/>
            <w:vAlign w:val="center"/>
          </w:tcPr>
          <w:p w14:paraId="0B0CD6F6">
            <w:pPr>
              <w:widowControl/>
              <w:jc w:val="center"/>
              <w:rPr>
                <w:rFonts w:ascii="宋体" w:hAnsi="宋体" w:eastAsia="宋体" w:cs="宋体"/>
                <w:kern w:val="0"/>
                <w:sz w:val="24"/>
              </w:rPr>
            </w:pPr>
            <w:r>
              <w:rPr>
                <w:rFonts w:hint="eastAsia" w:ascii="宋体" w:hAnsi="宋体" w:eastAsia="宋体" w:cs="宋体"/>
                <w:kern w:val="0"/>
                <w:sz w:val="24"/>
              </w:rPr>
              <w:t>9</w:t>
            </w:r>
          </w:p>
        </w:tc>
        <w:tc>
          <w:tcPr>
            <w:tcW w:w="4062" w:type="dxa"/>
            <w:noWrap/>
            <w:vAlign w:val="center"/>
          </w:tcPr>
          <w:p w14:paraId="2A02658D">
            <w:pPr>
              <w:widowControl/>
              <w:rPr>
                <w:rFonts w:ascii="宋体" w:hAnsi="宋体" w:eastAsia="宋体" w:cs="宋体"/>
                <w:color w:val="000000"/>
                <w:kern w:val="0"/>
                <w:sz w:val="24"/>
              </w:rPr>
            </w:pPr>
            <w:r>
              <w:rPr>
                <w:rFonts w:hint="eastAsia" w:ascii="宋体" w:hAnsi="宋体" w:eastAsia="宋体" w:cs="宋体"/>
                <w:color w:val="000000"/>
                <w:kern w:val="0"/>
                <w:sz w:val="24"/>
              </w:rPr>
              <w:t>轿顶检修开关、急停开关</w:t>
            </w:r>
          </w:p>
        </w:tc>
        <w:tc>
          <w:tcPr>
            <w:tcW w:w="4289" w:type="dxa"/>
            <w:noWrap/>
            <w:vAlign w:val="center"/>
          </w:tcPr>
          <w:p w14:paraId="6187005F">
            <w:pPr>
              <w:widowControl/>
              <w:rPr>
                <w:rFonts w:ascii="宋体" w:hAnsi="宋体" w:eastAsia="宋体" w:cs="宋体"/>
                <w:color w:val="000000"/>
                <w:kern w:val="0"/>
                <w:sz w:val="24"/>
              </w:rPr>
            </w:pPr>
            <w:r>
              <w:rPr>
                <w:rFonts w:hint="eastAsia" w:ascii="宋体" w:hAnsi="宋体" w:eastAsia="宋体" w:cs="宋体"/>
                <w:color w:val="000000"/>
                <w:kern w:val="0"/>
                <w:sz w:val="24"/>
              </w:rPr>
              <w:t>工作正常</w:t>
            </w:r>
          </w:p>
        </w:tc>
      </w:tr>
      <w:tr w14:paraId="6F5A58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715" w:type="dxa"/>
            <w:noWrap/>
            <w:vAlign w:val="center"/>
          </w:tcPr>
          <w:p w14:paraId="34A6555C">
            <w:pPr>
              <w:widowControl/>
              <w:jc w:val="center"/>
              <w:rPr>
                <w:rFonts w:ascii="宋体" w:hAnsi="宋体" w:eastAsia="宋体" w:cs="宋体"/>
                <w:kern w:val="0"/>
                <w:sz w:val="24"/>
              </w:rPr>
            </w:pPr>
            <w:r>
              <w:rPr>
                <w:rFonts w:hint="eastAsia" w:ascii="宋体" w:hAnsi="宋体" w:eastAsia="宋体" w:cs="宋体"/>
                <w:kern w:val="0"/>
                <w:sz w:val="24"/>
              </w:rPr>
              <w:t>10</w:t>
            </w:r>
          </w:p>
        </w:tc>
        <w:tc>
          <w:tcPr>
            <w:tcW w:w="4062" w:type="dxa"/>
            <w:noWrap/>
            <w:vAlign w:val="center"/>
          </w:tcPr>
          <w:p w14:paraId="1B8DEE8A">
            <w:pPr>
              <w:widowControl/>
              <w:rPr>
                <w:rFonts w:ascii="宋体" w:hAnsi="宋体" w:eastAsia="宋体" w:cs="宋体"/>
                <w:color w:val="000000"/>
                <w:kern w:val="0"/>
                <w:sz w:val="24"/>
              </w:rPr>
            </w:pPr>
            <w:r>
              <w:rPr>
                <w:rFonts w:hint="eastAsia" w:ascii="宋体" w:hAnsi="宋体" w:eastAsia="宋体" w:cs="宋体"/>
                <w:color w:val="000000"/>
                <w:kern w:val="0"/>
                <w:sz w:val="24"/>
              </w:rPr>
              <w:t>导靴上油杯</w:t>
            </w:r>
          </w:p>
        </w:tc>
        <w:tc>
          <w:tcPr>
            <w:tcW w:w="4289" w:type="dxa"/>
            <w:noWrap/>
            <w:vAlign w:val="center"/>
          </w:tcPr>
          <w:p w14:paraId="39D124A7">
            <w:pPr>
              <w:widowControl/>
              <w:rPr>
                <w:rFonts w:ascii="宋体" w:hAnsi="宋体" w:eastAsia="宋体" w:cs="宋体"/>
                <w:color w:val="000000"/>
                <w:kern w:val="0"/>
                <w:sz w:val="24"/>
              </w:rPr>
            </w:pPr>
            <w:r>
              <w:rPr>
                <w:rFonts w:hint="eastAsia" w:ascii="宋体" w:hAnsi="宋体" w:eastAsia="宋体" w:cs="宋体"/>
                <w:color w:val="000000"/>
                <w:kern w:val="0"/>
                <w:sz w:val="24"/>
              </w:rPr>
              <w:t>吸油毛毡齐全，油量适宜，油杯无泄漏</w:t>
            </w:r>
          </w:p>
        </w:tc>
      </w:tr>
      <w:tr w14:paraId="6B91B2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715" w:type="dxa"/>
            <w:noWrap/>
            <w:vAlign w:val="center"/>
          </w:tcPr>
          <w:p w14:paraId="016F6881">
            <w:pPr>
              <w:widowControl/>
              <w:jc w:val="center"/>
              <w:rPr>
                <w:rFonts w:ascii="宋体" w:hAnsi="宋体" w:eastAsia="宋体" w:cs="宋体"/>
                <w:kern w:val="0"/>
                <w:sz w:val="24"/>
              </w:rPr>
            </w:pPr>
            <w:r>
              <w:rPr>
                <w:rFonts w:hint="eastAsia" w:ascii="宋体" w:hAnsi="宋体" w:eastAsia="宋体" w:cs="宋体"/>
                <w:kern w:val="0"/>
                <w:sz w:val="24"/>
              </w:rPr>
              <w:t>11</w:t>
            </w:r>
          </w:p>
        </w:tc>
        <w:tc>
          <w:tcPr>
            <w:tcW w:w="4062" w:type="dxa"/>
            <w:noWrap/>
            <w:vAlign w:val="center"/>
          </w:tcPr>
          <w:p w14:paraId="45B78021">
            <w:pPr>
              <w:widowControl/>
              <w:rPr>
                <w:rFonts w:ascii="宋体" w:hAnsi="宋体" w:eastAsia="宋体" w:cs="宋体"/>
                <w:color w:val="000000"/>
                <w:kern w:val="0"/>
                <w:sz w:val="24"/>
              </w:rPr>
            </w:pPr>
            <w:r>
              <w:rPr>
                <w:rFonts w:hint="eastAsia" w:ascii="宋体" w:hAnsi="宋体" w:eastAsia="宋体" w:cs="宋体"/>
                <w:color w:val="000000"/>
                <w:kern w:val="0"/>
                <w:sz w:val="24"/>
              </w:rPr>
              <w:t>对重块及其压板</w:t>
            </w:r>
          </w:p>
        </w:tc>
        <w:tc>
          <w:tcPr>
            <w:tcW w:w="4289" w:type="dxa"/>
            <w:noWrap/>
            <w:vAlign w:val="center"/>
          </w:tcPr>
          <w:p w14:paraId="3AB5F15F">
            <w:pPr>
              <w:widowControl/>
              <w:rPr>
                <w:rFonts w:ascii="宋体" w:hAnsi="宋体" w:eastAsia="宋体" w:cs="宋体"/>
                <w:color w:val="000000"/>
                <w:kern w:val="0"/>
                <w:sz w:val="24"/>
              </w:rPr>
            </w:pPr>
            <w:r>
              <w:rPr>
                <w:rFonts w:hint="eastAsia" w:ascii="宋体" w:hAnsi="宋体" w:eastAsia="宋体" w:cs="宋体"/>
                <w:color w:val="000000"/>
                <w:kern w:val="0"/>
                <w:sz w:val="24"/>
              </w:rPr>
              <w:t>对重块无松动，压板紧固</w:t>
            </w:r>
          </w:p>
        </w:tc>
      </w:tr>
      <w:tr w14:paraId="614572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trPr>
        <w:tc>
          <w:tcPr>
            <w:tcW w:w="715" w:type="dxa"/>
            <w:noWrap/>
            <w:vAlign w:val="center"/>
          </w:tcPr>
          <w:p w14:paraId="7507AF8B">
            <w:pPr>
              <w:widowControl/>
              <w:jc w:val="center"/>
              <w:rPr>
                <w:rFonts w:ascii="宋体" w:hAnsi="宋体" w:eastAsia="宋体" w:cs="宋体"/>
                <w:kern w:val="0"/>
                <w:sz w:val="24"/>
              </w:rPr>
            </w:pPr>
            <w:r>
              <w:rPr>
                <w:rFonts w:hint="eastAsia" w:ascii="宋体" w:hAnsi="宋体" w:eastAsia="宋体" w:cs="宋体"/>
                <w:kern w:val="0"/>
                <w:sz w:val="24"/>
              </w:rPr>
              <w:t>12</w:t>
            </w:r>
          </w:p>
        </w:tc>
        <w:tc>
          <w:tcPr>
            <w:tcW w:w="4062" w:type="dxa"/>
            <w:noWrap/>
            <w:vAlign w:val="center"/>
          </w:tcPr>
          <w:p w14:paraId="2903D089">
            <w:pPr>
              <w:widowControl/>
              <w:rPr>
                <w:rFonts w:ascii="宋体" w:hAnsi="宋体" w:eastAsia="宋体" w:cs="宋体"/>
                <w:color w:val="000000"/>
                <w:kern w:val="0"/>
                <w:sz w:val="24"/>
              </w:rPr>
            </w:pPr>
            <w:r>
              <w:rPr>
                <w:rFonts w:hint="eastAsia" w:ascii="宋体" w:hAnsi="宋体" w:eastAsia="宋体" w:cs="宋体"/>
                <w:color w:val="000000"/>
                <w:kern w:val="0"/>
                <w:sz w:val="24"/>
              </w:rPr>
              <w:t>井道</w:t>
            </w:r>
            <w:r>
              <w:rPr>
                <w:rFonts w:hint="eastAsia" w:ascii="宋体" w:hAnsi="宋体" w:eastAsia="宋体" w:cs="宋体"/>
                <w:kern w:val="0"/>
                <w:sz w:val="24"/>
              </w:rPr>
              <w:t>照明</w:t>
            </w:r>
          </w:p>
        </w:tc>
        <w:tc>
          <w:tcPr>
            <w:tcW w:w="4289" w:type="dxa"/>
            <w:noWrap/>
            <w:vAlign w:val="center"/>
          </w:tcPr>
          <w:p w14:paraId="1F8277A7">
            <w:pPr>
              <w:widowControl/>
              <w:rPr>
                <w:rFonts w:ascii="宋体" w:hAnsi="宋体" w:eastAsia="宋体" w:cs="宋体"/>
                <w:color w:val="000000"/>
                <w:kern w:val="0"/>
                <w:sz w:val="24"/>
              </w:rPr>
            </w:pPr>
            <w:r>
              <w:rPr>
                <w:rFonts w:hint="eastAsia" w:ascii="宋体" w:hAnsi="宋体" w:eastAsia="宋体" w:cs="宋体"/>
                <w:color w:val="000000"/>
                <w:kern w:val="0"/>
                <w:sz w:val="24"/>
              </w:rPr>
              <w:t>齐全、正常</w:t>
            </w:r>
          </w:p>
        </w:tc>
      </w:tr>
      <w:tr w14:paraId="3B100B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715" w:type="dxa"/>
            <w:noWrap/>
            <w:vAlign w:val="center"/>
          </w:tcPr>
          <w:p w14:paraId="63FF0466">
            <w:pPr>
              <w:widowControl/>
              <w:jc w:val="center"/>
              <w:rPr>
                <w:rFonts w:ascii="宋体" w:hAnsi="宋体" w:eastAsia="宋体" w:cs="宋体"/>
                <w:kern w:val="0"/>
                <w:sz w:val="24"/>
              </w:rPr>
            </w:pPr>
            <w:r>
              <w:rPr>
                <w:rFonts w:hint="eastAsia" w:ascii="宋体" w:hAnsi="宋体" w:eastAsia="宋体" w:cs="宋体"/>
                <w:kern w:val="0"/>
                <w:sz w:val="24"/>
              </w:rPr>
              <w:t>13</w:t>
            </w:r>
          </w:p>
        </w:tc>
        <w:tc>
          <w:tcPr>
            <w:tcW w:w="4062" w:type="dxa"/>
            <w:noWrap/>
            <w:vAlign w:val="center"/>
          </w:tcPr>
          <w:p w14:paraId="10D77904">
            <w:pPr>
              <w:widowControl/>
              <w:rPr>
                <w:rFonts w:ascii="宋体" w:hAnsi="宋体" w:eastAsia="宋体" w:cs="宋体"/>
                <w:color w:val="000000"/>
                <w:kern w:val="0"/>
                <w:sz w:val="24"/>
              </w:rPr>
            </w:pPr>
            <w:r>
              <w:rPr>
                <w:rFonts w:hint="eastAsia" w:ascii="宋体" w:hAnsi="宋体" w:eastAsia="宋体" w:cs="宋体"/>
                <w:color w:val="000000"/>
                <w:kern w:val="0"/>
                <w:sz w:val="24"/>
              </w:rPr>
              <w:t>轿厢照明、风扇、应急照明</w:t>
            </w:r>
          </w:p>
        </w:tc>
        <w:tc>
          <w:tcPr>
            <w:tcW w:w="4289" w:type="dxa"/>
            <w:noWrap/>
            <w:vAlign w:val="center"/>
          </w:tcPr>
          <w:p w14:paraId="5006E8B4">
            <w:pPr>
              <w:widowControl/>
              <w:rPr>
                <w:rFonts w:ascii="宋体" w:hAnsi="宋体" w:eastAsia="宋体" w:cs="宋体"/>
                <w:color w:val="000000"/>
                <w:kern w:val="0"/>
                <w:sz w:val="24"/>
              </w:rPr>
            </w:pPr>
            <w:r>
              <w:rPr>
                <w:rFonts w:hint="eastAsia" w:ascii="宋体" w:hAnsi="宋体" w:eastAsia="宋体" w:cs="宋体"/>
                <w:color w:val="000000"/>
                <w:kern w:val="0"/>
                <w:sz w:val="24"/>
              </w:rPr>
              <w:t>工作正常</w:t>
            </w:r>
          </w:p>
        </w:tc>
      </w:tr>
      <w:tr w14:paraId="5D0389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715" w:type="dxa"/>
            <w:noWrap/>
            <w:vAlign w:val="center"/>
          </w:tcPr>
          <w:p w14:paraId="7DFDC571">
            <w:pPr>
              <w:widowControl/>
              <w:jc w:val="center"/>
              <w:rPr>
                <w:rFonts w:ascii="宋体" w:hAnsi="宋体" w:eastAsia="宋体" w:cs="宋体"/>
                <w:kern w:val="0"/>
                <w:sz w:val="24"/>
              </w:rPr>
            </w:pPr>
            <w:r>
              <w:rPr>
                <w:rFonts w:hint="eastAsia" w:ascii="宋体" w:hAnsi="宋体" w:eastAsia="宋体" w:cs="宋体"/>
                <w:kern w:val="0"/>
                <w:sz w:val="24"/>
              </w:rPr>
              <w:t>14</w:t>
            </w:r>
          </w:p>
        </w:tc>
        <w:tc>
          <w:tcPr>
            <w:tcW w:w="4062" w:type="dxa"/>
            <w:noWrap/>
            <w:vAlign w:val="center"/>
          </w:tcPr>
          <w:p w14:paraId="470B64DC">
            <w:pPr>
              <w:widowControl/>
              <w:rPr>
                <w:rFonts w:ascii="宋体" w:hAnsi="宋体" w:eastAsia="宋体" w:cs="宋体"/>
                <w:color w:val="000000"/>
                <w:kern w:val="0"/>
                <w:sz w:val="24"/>
              </w:rPr>
            </w:pPr>
            <w:r>
              <w:rPr>
                <w:rFonts w:hint="eastAsia" w:ascii="宋体" w:hAnsi="宋体" w:eastAsia="宋体" w:cs="宋体"/>
                <w:color w:val="000000"/>
                <w:kern w:val="0"/>
                <w:sz w:val="24"/>
              </w:rPr>
              <w:t>轿厢检修开关、急停开关</w:t>
            </w:r>
          </w:p>
        </w:tc>
        <w:tc>
          <w:tcPr>
            <w:tcW w:w="4289" w:type="dxa"/>
            <w:noWrap/>
            <w:vAlign w:val="center"/>
          </w:tcPr>
          <w:p w14:paraId="1F0CAE1D">
            <w:pPr>
              <w:widowControl/>
              <w:rPr>
                <w:rFonts w:ascii="宋体" w:hAnsi="宋体" w:eastAsia="宋体" w:cs="宋体"/>
                <w:color w:val="000000"/>
                <w:kern w:val="0"/>
                <w:sz w:val="24"/>
              </w:rPr>
            </w:pPr>
            <w:r>
              <w:rPr>
                <w:rFonts w:hint="eastAsia" w:ascii="宋体" w:hAnsi="宋体" w:eastAsia="宋体" w:cs="宋体"/>
                <w:color w:val="000000"/>
                <w:kern w:val="0"/>
                <w:sz w:val="24"/>
              </w:rPr>
              <w:t>工作正常</w:t>
            </w:r>
          </w:p>
        </w:tc>
      </w:tr>
      <w:tr w14:paraId="1F64B9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715" w:type="dxa"/>
            <w:noWrap/>
            <w:vAlign w:val="center"/>
          </w:tcPr>
          <w:p w14:paraId="72024BF1">
            <w:pPr>
              <w:widowControl/>
              <w:jc w:val="center"/>
              <w:rPr>
                <w:rFonts w:ascii="宋体" w:hAnsi="宋体" w:eastAsia="宋体" w:cs="宋体"/>
                <w:kern w:val="0"/>
                <w:sz w:val="24"/>
              </w:rPr>
            </w:pPr>
            <w:r>
              <w:rPr>
                <w:rFonts w:hint="eastAsia" w:ascii="宋体" w:hAnsi="宋体" w:eastAsia="宋体" w:cs="宋体"/>
                <w:kern w:val="0"/>
                <w:sz w:val="24"/>
              </w:rPr>
              <w:t>15</w:t>
            </w:r>
          </w:p>
        </w:tc>
        <w:tc>
          <w:tcPr>
            <w:tcW w:w="4062" w:type="dxa"/>
            <w:noWrap/>
            <w:vAlign w:val="center"/>
          </w:tcPr>
          <w:p w14:paraId="32F200CF">
            <w:pPr>
              <w:widowControl/>
              <w:rPr>
                <w:rFonts w:ascii="宋体" w:hAnsi="宋体" w:eastAsia="宋体" w:cs="宋体"/>
                <w:color w:val="000000"/>
                <w:kern w:val="0"/>
                <w:sz w:val="24"/>
              </w:rPr>
            </w:pPr>
            <w:r>
              <w:rPr>
                <w:rFonts w:hint="eastAsia" w:ascii="宋体" w:hAnsi="宋体" w:eastAsia="宋体" w:cs="宋体"/>
                <w:color w:val="000000"/>
                <w:kern w:val="0"/>
                <w:sz w:val="24"/>
              </w:rPr>
              <w:t>轿内报警装置、对讲系统</w:t>
            </w:r>
          </w:p>
        </w:tc>
        <w:tc>
          <w:tcPr>
            <w:tcW w:w="4289" w:type="dxa"/>
            <w:noWrap/>
            <w:vAlign w:val="center"/>
          </w:tcPr>
          <w:p w14:paraId="14C51A8F">
            <w:pPr>
              <w:widowControl/>
              <w:rPr>
                <w:rFonts w:ascii="宋体" w:hAnsi="宋体" w:eastAsia="宋体" w:cs="宋体"/>
                <w:strike/>
                <w:color w:val="000000"/>
                <w:kern w:val="0"/>
                <w:sz w:val="24"/>
              </w:rPr>
            </w:pPr>
            <w:r>
              <w:rPr>
                <w:rFonts w:hint="eastAsia" w:ascii="宋体" w:hAnsi="宋体" w:eastAsia="宋体" w:cs="宋体"/>
                <w:color w:val="000000"/>
                <w:kern w:val="0"/>
                <w:sz w:val="24"/>
              </w:rPr>
              <w:t>工作正常</w:t>
            </w:r>
          </w:p>
        </w:tc>
      </w:tr>
      <w:tr w14:paraId="6B51C1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715" w:type="dxa"/>
            <w:noWrap/>
            <w:vAlign w:val="center"/>
          </w:tcPr>
          <w:p w14:paraId="75E20418">
            <w:pPr>
              <w:widowControl/>
              <w:jc w:val="center"/>
              <w:rPr>
                <w:rFonts w:ascii="宋体" w:hAnsi="宋体" w:eastAsia="宋体" w:cs="宋体"/>
                <w:kern w:val="0"/>
                <w:sz w:val="24"/>
              </w:rPr>
            </w:pPr>
            <w:r>
              <w:rPr>
                <w:rFonts w:hint="eastAsia" w:ascii="宋体" w:hAnsi="宋体" w:eastAsia="宋体" w:cs="宋体"/>
                <w:kern w:val="0"/>
                <w:sz w:val="24"/>
              </w:rPr>
              <w:t>16</w:t>
            </w:r>
          </w:p>
        </w:tc>
        <w:tc>
          <w:tcPr>
            <w:tcW w:w="4062" w:type="dxa"/>
            <w:noWrap/>
            <w:vAlign w:val="center"/>
          </w:tcPr>
          <w:p w14:paraId="6FDD3CB8">
            <w:pPr>
              <w:widowControl/>
              <w:rPr>
                <w:rFonts w:ascii="宋体" w:hAnsi="宋体" w:eastAsia="宋体" w:cs="宋体"/>
                <w:color w:val="000000"/>
                <w:kern w:val="0"/>
                <w:sz w:val="24"/>
              </w:rPr>
            </w:pPr>
            <w:r>
              <w:rPr>
                <w:rFonts w:hint="eastAsia" w:ascii="宋体" w:hAnsi="宋体" w:eastAsia="宋体" w:cs="宋体"/>
                <w:color w:val="000000"/>
                <w:kern w:val="0"/>
                <w:sz w:val="24"/>
              </w:rPr>
              <w:t>轿内显示、指令按钮</w:t>
            </w:r>
          </w:p>
        </w:tc>
        <w:tc>
          <w:tcPr>
            <w:tcW w:w="4289" w:type="dxa"/>
            <w:noWrap/>
            <w:vAlign w:val="center"/>
          </w:tcPr>
          <w:p w14:paraId="10E9FDB5">
            <w:pPr>
              <w:widowControl/>
              <w:rPr>
                <w:rFonts w:ascii="宋体" w:hAnsi="宋体" w:eastAsia="宋体" w:cs="宋体"/>
                <w:color w:val="000000"/>
                <w:kern w:val="0"/>
                <w:sz w:val="24"/>
              </w:rPr>
            </w:pPr>
            <w:r>
              <w:rPr>
                <w:rFonts w:hint="eastAsia" w:ascii="宋体" w:hAnsi="宋体" w:eastAsia="宋体" w:cs="宋体"/>
                <w:color w:val="000000"/>
                <w:kern w:val="0"/>
                <w:sz w:val="24"/>
              </w:rPr>
              <w:t>齐全、有效</w:t>
            </w:r>
          </w:p>
        </w:tc>
      </w:tr>
      <w:tr w14:paraId="2E0832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715" w:type="dxa"/>
            <w:noWrap/>
            <w:vAlign w:val="center"/>
          </w:tcPr>
          <w:p w14:paraId="561385F2">
            <w:pPr>
              <w:widowControl/>
              <w:jc w:val="center"/>
              <w:rPr>
                <w:rFonts w:ascii="宋体" w:hAnsi="宋体" w:eastAsia="宋体" w:cs="宋体"/>
                <w:kern w:val="0"/>
                <w:sz w:val="24"/>
              </w:rPr>
            </w:pPr>
            <w:r>
              <w:rPr>
                <w:rFonts w:hint="eastAsia" w:ascii="宋体" w:hAnsi="宋体" w:eastAsia="宋体" w:cs="宋体"/>
                <w:kern w:val="0"/>
                <w:sz w:val="24"/>
              </w:rPr>
              <w:t>17</w:t>
            </w:r>
          </w:p>
        </w:tc>
        <w:tc>
          <w:tcPr>
            <w:tcW w:w="4062" w:type="dxa"/>
            <w:noWrap/>
            <w:vAlign w:val="center"/>
          </w:tcPr>
          <w:p w14:paraId="16F4CB57">
            <w:pPr>
              <w:widowControl/>
              <w:rPr>
                <w:rFonts w:ascii="宋体" w:hAnsi="宋体" w:eastAsia="宋体" w:cs="宋体"/>
                <w:color w:val="000000"/>
                <w:kern w:val="0"/>
                <w:sz w:val="24"/>
              </w:rPr>
            </w:pPr>
            <w:r>
              <w:rPr>
                <w:rFonts w:hint="eastAsia" w:ascii="宋体" w:hAnsi="宋体" w:eastAsia="宋体" w:cs="宋体"/>
                <w:color w:val="000000"/>
                <w:kern w:val="0"/>
                <w:sz w:val="24"/>
              </w:rPr>
              <w:t>轿门安全装置（安全触板，光幕、光电等）</w:t>
            </w:r>
          </w:p>
        </w:tc>
        <w:tc>
          <w:tcPr>
            <w:tcW w:w="4289" w:type="dxa"/>
            <w:noWrap/>
            <w:vAlign w:val="center"/>
          </w:tcPr>
          <w:p w14:paraId="5F89F4B7">
            <w:pPr>
              <w:widowControl/>
              <w:rPr>
                <w:rFonts w:ascii="宋体" w:hAnsi="宋体" w:eastAsia="宋体" w:cs="宋体"/>
                <w:color w:val="000000"/>
                <w:kern w:val="0"/>
                <w:sz w:val="24"/>
              </w:rPr>
            </w:pPr>
            <w:r>
              <w:rPr>
                <w:rFonts w:hint="eastAsia" w:ascii="宋体" w:hAnsi="宋体" w:eastAsia="宋体" w:cs="宋体"/>
                <w:color w:val="000000"/>
                <w:kern w:val="0"/>
                <w:sz w:val="24"/>
              </w:rPr>
              <w:t>功能有效</w:t>
            </w:r>
          </w:p>
        </w:tc>
      </w:tr>
      <w:tr w14:paraId="343F13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715" w:type="dxa"/>
            <w:noWrap/>
            <w:vAlign w:val="center"/>
          </w:tcPr>
          <w:p w14:paraId="305B084A">
            <w:pPr>
              <w:widowControl/>
              <w:jc w:val="center"/>
              <w:rPr>
                <w:rFonts w:ascii="宋体" w:hAnsi="宋体" w:eastAsia="宋体" w:cs="宋体"/>
                <w:kern w:val="0"/>
                <w:sz w:val="24"/>
              </w:rPr>
            </w:pPr>
            <w:r>
              <w:rPr>
                <w:rFonts w:hint="eastAsia" w:ascii="宋体" w:hAnsi="宋体" w:eastAsia="宋体" w:cs="宋体"/>
                <w:kern w:val="0"/>
                <w:sz w:val="24"/>
              </w:rPr>
              <w:t>18</w:t>
            </w:r>
          </w:p>
        </w:tc>
        <w:tc>
          <w:tcPr>
            <w:tcW w:w="4062" w:type="dxa"/>
            <w:noWrap/>
            <w:vAlign w:val="center"/>
          </w:tcPr>
          <w:p w14:paraId="69E5FDBC">
            <w:pPr>
              <w:widowControl/>
              <w:rPr>
                <w:rFonts w:ascii="宋体" w:hAnsi="宋体" w:eastAsia="宋体" w:cs="宋体"/>
                <w:color w:val="000000"/>
                <w:kern w:val="0"/>
                <w:sz w:val="24"/>
              </w:rPr>
            </w:pPr>
            <w:r>
              <w:rPr>
                <w:rFonts w:hint="eastAsia" w:ascii="宋体" w:hAnsi="宋体" w:eastAsia="宋体" w:cs="宋体"/>
                <w:color w:val="000000"/>
                <w:kern w:val="0"/>
                <w:sz w:val="24"/>
              </w:rPr>
              <w:t>轿门门锁电气触点</w:t>
            </w:r>
          </w:p>
        </w:tc>
        <w:tc>
          <w:tcPr>
            <w:tcW w:w="4289" w:type="dxa"/>
            <w:noWrap/>
            <w:vAlign w:val="center"/>
          </w:tcPr>
          <w:p w14:paraId="228C8ED5">
            <w:pPr>
              <w:widowControl/>
              <w:rPr>
                <w:rFonts w:ascii="宋体" w:hAnsi="宋体" w:eastAsia="宋体" w:cs="宋体"/>
                <w:color w:val="000000"/>
                <w:kern w:val="0"/>
                <w:sz w:val="24"/>
              </w:rPr>
            </w:pPr>
            <w:r>
              <w:rPr>
                <w:rFonts w:hint="eastAsia" w:ascii="宋体" w:hAnsi="宋体" w:eastAsia="宋体" w:cs="宋体"/>
                <w:color w:val="000000"/>
                <w:kern w:val="0"/>
                <w:sz w:val="24"/>
              </w:rPr>
              <w:t>清洁, 触点接触良好，接线可靠</w:t>
            </w:r>
          </w:p>
        </w:tc>
      </w:tr>
      <w:tr w14:paraId="677839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715" w:type="dxa"/>
            <w:noWrap/>
            <w:vAlign w:val="center"/>
          </w:tcPr>
          <w:p w14:paraId="1A2AAD25">
            <w:pPr>
              <w:widowControl/>
              <w:jc w:val="center"/>
              <w:rPr>
                <w:rFonts w:ascii="宋体" w:hAnsi="宋体" w:eastAsia="宋体" w:cs="宋体"/>
                <w:kern w:val="0"/>
                <w:sz w:val="24"/>
              </w:rPr>
            </w:pPr>
            <w:r>
              <w:rPr>
                <w:rFonts w:hint="eastAsia" w:ascii="宋体" w:hAnsi="宋体" w:eastAsia="宋体" w:cs="宋体"/>
                <w:kern w:val="0"/>
                <w:sz w:val="24"/>
              </w:rPr>
              <w:t>19</w:t>
            </w:r>
          </w:p>
        </w:tc>
        <w:tc>
          <w:tcPr>
            <w:tcW w:w="4062" w:type="dxa"/>
            <w:noWrap/>
            <w:vAlign w:val="center"/>
          </w:tcPr>
          <w:p w14:paraId="2C7612A3">
            <w:pPr>
              <w:widowControl/>
              <w:rPr>
                <w:rFonts w:ascii="宋体" w:hAnsi="宋体" w:eastAsia="宋体" w:cs="宋体"/>
                <w:color w:val="000000"/>
                <w:kern w:val="0"/>
                <w:sz w:val="24"/>
              </w:rPr>
            </w:pPr>
            <w:r>
              <w:rPr>
                <w:rFonts w:hint="eastAsia" w:ascii="宋体" w:hAnsi="宋体" w:eastAsia="宋体" w:cs="宋体"/>
                <w:color w:val="000000"/>
                <w:kern w:val="0"/>
                <w:sz w:val="24"/>
              </w:rPr>
              <w:t>轿门运行</w:t>
            </w:r>
          </w:p>
        </w:tc>
        <w:tc>
          <w:tcPr>
            <w:tcW w:w="4289" w:type="dxa"/>
            <w:noWrap/>
            <w:vAlign w:val="center"/>
          </w:tcPr>
          <w:p w14:paraId="1BDF174A">
            <w:pPr>
              <w:widowControl/>
              <w:rPr>
                <w:rFonts w:ascii="宋体" w:hAnsi="宋体" w:eastAsia="宋体" w:cs="宋体"/>
                <w:color w:val="000000"/>
                <w:kern w:val="0"/>
                <w:sz w:val="24"/>
              </w:rPr>
            </w:pPr>
            <w:r>
              <w:rPr>
                <w:rFonts w:hint="eastAsia" w:ascii="宋体" w:hAnsi="宋体" w:eastAsia="宋体" w:cs="宋体"/>
                <w:color w:val="000000"/>
                <w:kern w:val="0"/>
                <w:sz w:val="24"/>
              </w:rPr>
              <w:t>开启和关闭工作正常</w:t>
            </w:r>
          </w:p>
        </w:tc>
      </w:tr>
      <w:tr w14:paraId="3E5C92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715" w:type="dxa"/>
            <w:noWrap/>
            <w:vAlign w:val="center"/>
          </w:tcPr>
          <w:p w14:paraId="78215D43">
            <w:pPr>
              <w:widowControl/>
              <w:jc w:val="center"/>
              <w:rPr>
                <w:rFonts w:ascii="宋体" w:hAnsi="宋体" w:eastAsia="宋体" w:cs="宋体"/>
                <w:kern w:val="0"/>
                <w:sz w:val="24"/>
              </w:rPr>
            </w:pPr>
            <w:r>
              <w:rPr>
                <w:rFonts w:hint="eastAsia" w:ascii="宋体" w:hAnsi="宋体" w:eastAsia="宋体" w:cs="宋体"/>
                <w:kern w:val="0"/>
                <w:sz w:val="24"/>
              </w:rPr>
              <w:t>20</w:t>
            </w:r>
          </w:p>
        </w:tc>
        <w:tc>
          <w:tcPr>
            <w:tcW w:w="4062" w:type="dxa"/>
            <w:noWrap/>
            <w:vAlign w:val="center"/>
          </w:tcPr>
          <w:p w14:paraId="50806C98">
            <w:pPr>
              <w:widowControl/>
              <w:rPr>
                <w:rFonts w:ascii="宋体" w:hAnsi="宋体" w:eastAsia="宋体" w:cs="宋体"/>
                <w:color w:val="000000"/>
                <w:kern w:val="0"/>
                <w:sz w:val="24"/>
              </w:rPr>
            </w:pPr>
            <w:r>
              <w:rPr>
                <w:rFonts w:hint="eastAsia" w:ascii="宋体" w:hAnsi="宋体" w:eastAsia="宋体" w:cs="宋体"/>
                <w:color w:val="000000"/>
                <w:kern w:val="0"/>
                <w:sz w:val="24"/>
              </w:rPr>
              <w:t>轿厢平层精度</w:t>
            </w:r>
          </w:p>
        </w:tc>
        <w:tc>
          <w:tcPr>
            <w:tcW w:w="4289" w:type="dxa"/>
            <w:noWrap/>
            <w:vAlign w:val="center"/>
          </w:tcPr>
          <w:p w14:paraId="7224905A">
            <w:pPr>
              <w:widowControl/>
              <w:rPr>
                <w:rFonts w:ascii="宋体" w:hAnsi="宋体" w:eastAsia="宋体" w:cs="宋体"/>
                <w:color w:val="000000"/>
                <w:kern w:val="0"/>
                <w:sz w:val="24"/>
              </w:rPr>
            </w:pPr>
            <w:r>
              <w:rPr>
                <w:rFonts w:hint="eastAsia" w:ascii="宋体" w:hAnsi="宋体" w:eastAsia="宋体" w:cs="宋体"/>
                <w:color w:val="000000"/>
                <w:kern w:val="0"/>
                <w:sz w:val="24"/>
              </w:rPr>
              <w:t>符合标准</w:t>
            </w:r>
          </w:p>
        </w:tc>
      </w:tr>
      <w:tr w14:paraId="6E2F5A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715" w:type="dxa"/>
            <w:noWrap/>
            <w:vAlign w:val="center"/>
          </w:tcPr>
          <w:p w14:paraId="2D229B71">
            <w:pPr>
              <w:widowControl/>
              <w:jc w:val="center"/>
              <w:rPr>
                <w:rFonts w:ascii="宋体" w:hAnsi="宋体" w:eastAsia="宋体" w:cs="宋体"/>
                <w:kern w:val="0"/>
                <w:sz w:val="24"/>
              </w:rPr>
            </w:pPr>
            <w:r>
              <w:rPr>
                <w:rFonts w:hint="eastAsia" w:ascii="宋体" w:hAnsi="宋体" w:eastAsia="宋体" w:cs="宋体"/>
                <w:kern w:val="0"/>
                <w:sz w:val="24"/>
              </w:rPr>
              <w:t>21</w:t>
            </w:r>
          </w:p>
        </w:tc>
        <w:tc>
          <w:tcPr>
            <w:tcW w:w="4062" w:type="dxa"/>
            <w:noWrap/>
            <w:vAlign w:val="center"/>
          </w:tcPr>
          <w:p w14:paraId="4B092D81">
            <w:pPr>
              <w:widowControl/>
              <w:rPr>
                <w:rFonts w:ascii="宋体" w:hAnsi="宋体" w:eastAsia="宋体" w:cs="宋体"/>
                <w:color w:val="000000"/>
                <w:kern w:val="0"/>
                <w:sz w:val="24"/>
              </w:rPr>
            </w:pPr>
            <w:r>
              <w:rPr>
                <w:rFonts w:hint="eastAsia" w:ascii="宋体" w:hAnsi="宋体" w:eastAsia="宋体" w:cs="宋体"/>
                <w:color w:val="000000"/>
                <w:kern w:val="0"/>
                <w:sz w:val="24"/>
              </w:rPr>
              <w:t>层站召唤、层楼显示</w:t>
            </w:r>
          </w:p>
        </w:tc>
        <w:tc>
          <w:tcPr>
            <w:tcW w:w="4289" w:type="dxa"/>
            <w:noWrap/>
            <w:vAlign w:val="center"/>
          </w:tcPr>
          <w:p w14:paraId="0E26A0C7">
            <w:pPr>
              <w:widowControl/>
              <w:rPr>
                <w:rFonts w:ascii="宋体" w:hAnsi="宋体" w:eastAsia="宋体" w:cs="宋体"/>
                <w:color w:val="000000"/>
                <w:kern w:val="0"/>
                <w:sz w:val="24"/>
              </w:rPr>
            </w:pPr>
            <w:r>
              <w:rPr>
                <w:rFonts w:hint="eastAsia" w:ascii="宋体" w:hAnsi="宋体" w:eastAsia="宋体" w:cs="宋体"/>
                <w:color w:val="000000"/>
                <w:kern w:val="0"/>
                <w:sz w:val="24"/>
              </w:rPr>
              <w:t>齐全、有效</w:t>
            </w:r>
          </w:p>
        </w:tc>
      </w:tr>
      <w:tr w14:paraId="572321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715" w:type="dxa"/>
            <w:noWrap/>
            <w:vAlign w:val="center"/>
          </w:tcPr>
          <w:p w14:paraId="701197DE">
            <w:pPr>
              <w:widowControl/>
              <w:jc w:val="center"/>
              <w:rPr>
                <w:rFonts w:ascii="宋体" w:hAnsi="宋体" w:eastAsia="宋体" w:cs="宋体"/>
                <w:kern w:val="0"/>
                <w:sz w:val="24"/>
              </w:rPr>
            </w:pPr>
            <w:r>
              <w:rPr>
                <w:rFonts w:hint="eastAsia" w:ascii="宋体" w:hAnsi="宋体" w:eastAsia="宋体" w:cs="宋体"/>
                <w:kern w:val="0"/>
                <w:sz w:val="24"/>
              </w:rPr>
              <w:t>22</w:t>
            </w:r>
          </w:p>
        </w:tc>
        <w:tc>
          <w:tcPr>
            <w:tcW w:w="4062" w:type="dxa"/>
            <w:noWrap/>
            <w:vAlign w:val="center"/>
          </w:tcPr>
          <w:p w14:paraId="5B9DA6E4">
            <w:pPr>
              <w:widowControl/>
              <w:rPr>
                <w:rFonts w:ascii="宋体" w:hAnsi="宋体" w:eastAsia="宋体" w:cs="宋体"/>
                <w:color w:val="000000"/>
                <w:kern w:val="0"/>
                <w:sz w:val="24"/>
              </w:rPr>
            </w:pPr>
            <w:r>
              <w:rPr>
                <w:rFonts w:hint="eastAsia" w:ascii="宋体" w:hAnsi="宋体" w:eastAsia="宋体" w:cs="宋体"/>
                <w:color w:val="000000"/>
                <w:kern w:val="0"/>
                <w:sz w:val="24"/>
              </w:rPr>
              <w:t>层门地坎</w:t>
            </w:r>
          </w:p>
        </w:tc>
        <w:tc>
          <w:tcPr>
            <w:tcW w:w="4289" w:type="dxa"/>
            <w:noWrap/>
            <w:vAlign w:val="center"/>
          </w:tcPr>
          <w:p w14:paraId="3790FE72">
            <w:pPr>
              <w:widowControl/>
              <w:rPr>
                <w:rFonts w:ascii="宋体" w:hAnsi="宋体" w:eastAsia="宋体" w:cs="宋体"/>
                <w:color w:val="000000"/>
                <w:kern w:val="0"/>
                <w:sz w:val="24"/>
              </w:rPr>
            </w:pPr>
            <w:r>
              <w:rPr>
                <w:rFonts w:hint="eastAsia" w:ascii="宋体" w:hAnsi="宋体" w:eastAsia="宋体" w:cs="宋体"/>
                <w:color w:val="000000"/>
                <w:kern w:val="0"/>
                <w:sz w:val="24"/>
              </w:rPr>
              <w:t>清洁</w:t>
            </w:r>
          </w:p>
        </w:tc>
      </w:tr>
      <w:tr w14:paraId="1F8EC5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715" w:type="dxa"/>
            <w:noWrap/>
            <w:vAlign w:val="center"/>
          </w:tcPr>
          <w:p w14:paraId="13C8FFF7">
            <w:pPr>
              <w:widowControl/>
              <w:jc w:val="center"/>
              <w:rPr>
                <w:rFonts w:ascii="宋体" w:hAnsi="宋体" w:eastAsia="宋体" w:cs="宋体"/>
                <w:kern w:val="0"/>
                <w:sz w:val="24"/>
              </w:rPr>
            </w:pPr>
            <w:r>
              <w:rPr>
                <w:rFonts w:hint="eastAsia" w:ascii="宋体" w:hAnsi="宋体" w:eastAsia="宋体" w:cs="宋体"/>
                <w:kern w:val="0"/>
                <w:sz w:val="24"/>
              </w:rPr>
              <w:t>23</w:t>
            </w:r>
          </w:p>
        </w:tc>
        <w:tc>
          <w:tcPr>
            <w:tcW w:w="4062" w:type="dxa"/>
            <w:noWrap/>
            <w:vAlign w:val="center"/>
          </w:tcPr>
          <w:p w14:paraId="203AA777">
            <w:pPr>
              <w:widowControl/>
              <w:rPr>
                <w:rFonts w:ascii="宋体" w:hAnsi="宋体" w:eastAsia="宋体" w:cs="宋体"/>
                <w:color w:val="000000"/>
                <w:kern w:val="0"/>
                <w:sz w:val="24"/>
              </w:rPr>
            </w:pPr>
            <w:r>
              <w:rPr>
                <w:rFonts w:hint="eastAsia" w:ascii="宋体" w:hAnsi="宋体" w:eastAsia="宋体" w:cs="宋体"/>
                <w:color w:val="000000"/>
                <w:kern w:val="0"/>
                <w:sz w:val="24"/>
              </w:rPr>
              <w:t>层门自动关门装置</w:t>
            </w:r>
          </w:p>
        </w:tc>
        <w:tc>
          <w:tcPr>
            <w:tcW w:w="4289" w:type="dxa"/>
            <w:noWrap/>
            <w:vAlign w:val="center"/>
          </w:tcPr>
          <w:p w14:paraId="233E9CBD">
            <w:pPr>
              <w:widowControl/>
              <w:rPr>
                <w:rFonts w:ascii="宋体" w:hAnsi="宋体" w:eastAsia="宋体" w:cs="宋体"/>
                <w:color w:val="000000"/>
                <w:kern w:val="0"/>
                <w:sz w:val="24"/>
              </w:rPr>
            </w:pPr>
            <w:r>
              <w:rPr>
                <w:rFonts w:hint="eastAsia" w:ascii="宋体" w:hAnsi="宋体" w:eastAsia="宋体" w:cs="宋体"/>
                <w:color w:val="000000"/>
                <w:kern w:val="0"/>
                <w:sz w:val="24"/>
              </w:rPr>
              <w:t>正常</w:t>
            </w:r>
          </w:p>
        </w:tc>
      </w:tr>
      <w:tr w14:paraId="6B514F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715" w:type="dxa"/>
            <w:noWrap/>
            <w:vAlign w:val="center"/>
          </w:tcPr>
          <w:p w14:paraId="6282A9C9">
            <w:pPr>
              <w:widowControl/>
              <w:jc w:val="center"/>
              <w:rPr>
                <w:rFonts w:ascii="宋体" w:hAnsi="宋体" w:eastAsia="宋体" w:cs="宋体"/>
                <w:kern w:val="0"/>
                <w:sz w:val="24"/>
              </w:rPr>
            </w:pPr>
            <w:r>
              <w:rPr>
                <w:rFonts w:hint="eastAsia" w:ascii="宋体" w:hAnsi="宋体" w:eastAsia="宋体" w:cs="宋体"/>
                <w:kern w:val="0"/>
                <w:sz w:val="24"/>
              </w:rPr>
              <w:t>24</w:t>
            </w:r>
          </w:p>
        </w:tc>
        <w:tc>
          <w:tcPr>
            <w:tcW w:w="4062" w:type="dxa"/>
            <w:noWrap/>
            <w:vAlign w:val="center"/>
          </w:tcPr>
          <w:p w14:paraId="4B6A95FF">
            <w:pPr>
              <w:widowControl/>
              <w:rPr>
                <w:rFonts w:ascii="宋体" w:hAnsi="宋体" w:eastAsia="宋体" w:cs="宋体"/>
                <w:color w:val="000000"/>
                <w:kern w:val="0"/>
                <w:sz w:val="24"/>
              </w:rPr>
            </w:pPr>
            <w:r>
              <w:rPr>
                <w:rFonts w:hint="eastAsia" w:ascii="宋体" w:hAnsi="宋体" w:eastAsia="宋体" w:cs="宋体"/>
                <w:color w:val="000000"/>
                <w:kern w:val="0"/>
                <w:sz w:val="24"/>
              </w:rPr>
              <w:t>层门门锁自动复位</w:t>
            </w:r>
          </w:p>
        </w:tc>
        <w:tc>
          <w:tcPr>
            <w:tcW w:w="4289" w:type="dxa"/>
            <w:noWrap/>
            <w:vAlign w:val="center"/>
          </w:tcPr>
          <w:p w14:paraId="248EBC05">
            <w:pPr>
              <w:widowControl/>
              <w:rPr>
                <w:rFonts w:ascii="宋体" w:hAnsi="宋体" w:eastAsia="宋体" w:cs="宋体"/>
                <w:color w:val="000000"/>
                <w:kern w:val="0"/>
                <w:sz w:val="24"/>
              </w:rPr>
            </w:pPr>
            <w:r>
              <w:rPr>
                <w:rFonts w:hint="eastAsia" w:ascii="宋体" w:hAnsi="宋体" w:eastAsia="宋体" w:cs="宋体"/>
                <w:color w:val="000000"/>
                <w:kern w:val="0"/>
                <w:sz w:val="24"/>
              </w:rPr>
              <w:t>用层门钥匙打开手动开锁装置释放后，层门门锁能自动复位</w:t>
            </w:r>
          </w:p>
        </w:tc>
      </w:tr>
      <w:tr w14:paraId="49DF91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715" w:type="dxa"/>
            <w:noWrap/>
            <w:vAlign w:val="center"/>
          </w:tcPr>
          <w:p w14:paraId="00852C2F">
            <w:pPr>
              <w:widowControl/>
              <w:jc w:val="center"/>
              <w:rPr>
                <w:rFonts w:ascii="宋体" w:hAnsi="宋体" w:eastAsia="宋体" w:cs="宋体"/>
                <w:kern w:val="0"/>
                <w:sz w:val="24"/>
              </w:rPr>
            </w:pPr>
            <w:r>
              <w:rPr>
                <w:rFonts w:hint="eastAsia" w:ascii="宋体" w:hAnsi="宋体" w:eastAsia="宋体" w:cs="宋体"/>
                <w:kern w:val="0"/>
                <w:sz w:val="24"/>
              </w:rPr>
              <w:t>25</w:t>
            </w:r>
          </w:p>
        </w:tc>
        <w:tc>
          <w:tcPr>
            <w:tcW w:w="4062" w:type="dxa"/>
            <w:noWrap/>
            <w:vAlign w:val="center"/>
          </w:tcPr>
          <w:p w14:paraId="495EFB3A">
            <w:pPr>
              <w:widowControl/>
              <w:rPr>
                <w:rFonts w:ascii="宋体" w:hAnsi="宋体" w:eastAsia="宋体" w:cs="宋体"/>
                <w:color w:val="000000"/>
                <w:kern w:val="0"/>
                <w:sz w:val="24"/>
              </w:rPr>
            </w:pPr>
            <w:r>
              <w:rPr>
                <w:rFonts w:hint="eastAsia" w:ascii="宋体" w:hAnsi="宋体" w:eastAsia="宋体" w:cs="宋体"/>
                <w:color w:val="000000"/>
                <w:kern w:val="0"/>
                <w:sz w:val="24"/>
              </w:rPr>
              <w:t>层门门锁电气触点</w:t>
            </w:r>
          </w:p>
        </w:tc>
        <w:tc>
          <w:tcPr>
            <w:tcW w:w="4289" w:type="dxa"/>
            <w:noWrap/>
            <w:vAlign w:val="center"/>
          </w:tcPr>
          <w:p w14:paraId="66E087BB">
            <w:pPr>
              <w:widowControl/>
              <w:rPr>
                <w:rFonts w:ascii="宋体" w:hAnsi="宋体" w:eastAsia="宋体" w:cs="宋体"/>
                <w:color w:val="000000"/>
                <w:kern w:val="0"/>
                <w:sz w:val="24"/>
              </w:rPr>
            </w:pPr>
            <w:r>
              <w:rPr>
                <w:rFonts w:hint="eastAsia" w:ascii="宋体" w:hAnsi="宋体" w:eastAsia="宋体" w:cs="宋体"/>
                <w:color w:val="000000"/>
                <w:kern w:val="0"/>
                <w:sz w:val="24"/>
              </w:rPr>
              <w:t>清洁, 触点接触良好，接线可靠</w:t>
            </w:r>
          </w:p>
        </w:tc>
      </w:tr>
      <w:tr w14:paraId="02D33A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715" w:type="dxa"/>
            <w:noWrap/>
            <w:vAlign w:val="center"/>
          </w:tcPr>
          <w:p w14:paraId="70BC2DC8">
            <w:pPr>
              <w:widowControl/>
              <w:jc w:val="center"/>
              <w:rPr>
                <w:rFonts w:ascii="宋体" w:hAnsi="宋体" w:eastAsia="宋体" w:cs="宋体"/>
                <w:kern w:val="0"/>
                <w:sz w:val="24"/>
              </w:rPr>
            </w:pPr>
            <w:r>
              <w:rPr>
                <w:rFonts w:hint="eastAsia" w:ascii="宋体" w:hAnsi="宋体" w:eastAsia="宋体" w:cs="宋体"/>
                <w:kern w:val="0"/>
                <w:sz w:val="24"/>
              </w:rPr>
              <w:t>26</w:t>
            </w:r>
          </w:p>
        </w:tc>
        <w:tc>
          <w:tcPr>
            <w:tcW w:w="4062" w:type="dxa"/>
            <w:noWrap/>
            <w:vAlign w:val="center"/>
          </w:tcPr>
          <w:p w14:paraId="59050A3C">
            <w:pPr>
              <w:widowControl/>
              <w:rPr>
                <w:rFonts w:ascii="宋体" w:hAnsi="宋体" w:eastAsia="宋体" w:cs="宋体"/>
                <w:color w:val="000000"/>
                <w:kern w:val="0"/>
                <w:sz w:val="24"/>
              </w:rPr>
            </w:pPr>
            <w:r>
              <w:rPr>
                <w:rFonts w:hint="eastAsia" w:ascii="宋体" w:hAnsi="宋体" w:eastAsia="宋体" w:cs="宋体"/>
                <w:color w:val="000000"/>
                <w:kern w:val="0"/>
                <w:sz w:val="24"/>
              </w:rPr>
              <w:t>层门锁紧元件啮合长度</w:t>
            </w:r>
          </w:p>
        </w:tc>
        <w:tc>
          <w:tcPr>
            <w:tcW w:w="4289" w:type="dxa"/>
            <w:noWrap/>
            <w:vAlign w:val="center"/>
          </w:tcPr>
          <w:p w14:paraId="1B82D988">
            <w:pPr>
              <w:widowControl/>
              <w:rPr>
                <w:rFonts w:ascii="宋体" w:hAnsi="宋体" w:eastAsia="宋体" w:cs="宋体"/>
                <w:color w:val="000000"/>
                <w:kern w:val="0"/>
                <w:sz w:val="24"/>
              </w:rPr>
            </w:pPr>
            <w:r>
              <w:rPr>
                <w:rFonts w:hint="eastAsia" w:ascii="宋体" w:hAnsi="宋体" w:eastAsia="宋体" w:cs="宋体"/>
                <w:color w:val="000000"/>
                <w:kern w:val="0"/>
                <w:sz w:val="24"/>
              </w:rPr>
              <w:t>不小于7mm</w:t>
            </w:r>
          </w:p>
        </w:tc>
      </w:tr>
      <w:tr w14:paraId="644FD5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715" w:type="dxa"/>
            <w:noWrap/>
            <w:vAlign w:val="center"/>
          </w:tcPr>
          <w:p w14:paraId="7D78517E">
            <w:pPr>
              <w:widowControl/>
              <w:jc w:val="center"/>
              <w:rPr>
                <w:rFonts w:ascii="宋体" w:hAnsi="宋体" w:eastAsia="宋体" w:cs="宋体"/>
                <w:kern w:val="0"/>
                <w:sz w:val="24"/>
              </w:rPr>
            </w:pPr>
            <w:r>
              <w:rPr>
                <w:rFonts w:hint="eastAsia" w:ascii="宋体" w:hAnsi="宋体" w:eastAsia="宋体" w:cs="宋体"/>
                <w:kern w:val="0"/>
                <w:sz w:val="24"/>
              </w:rPr>
              <w:t>27</w:t>
            </w:r>
          </w:p>
        </w:tc>
        <w:tc>
          <w:tcPr>
            <w:tcW w:w="4062" w:type="dxa"/>
            <w:noWrap/>
            <w:vAlign w:val="center"/>
          </w:tcPr>
          <w:p w14:paraId="58175651">
            <w:pPr>
              <w:widowControl/>
              <w:rPr>
                <w:rFonts w:ascii="宋体" w:hAnsi="宋体" w:eastAsia="宋体" w:cs="宋体"/>
                <w:color w:val="000000"/>
                <w:kern w:val="0"/>
                <w:sz w:val="24"/>
              </w:rPr>
            </w:pPr>
            <w:r>
              <w:rPr>
                <w:rFonts w:hint="eastAsia" w:ascii="宋体" w:hAnsi="宋体" w:eastAsia="宋体" w:cs="宋体"/>
                <w:color w:val="000000"/>
                <w:kern w:val="0"/>
                <w:sz w:val="24"/>
              </w:rPr>
              <w:t>底坑环境</w:t>
            </w:r>
          </w:p>
        </w:tc>
        <w:tc>
          <w:tcPr>
            <w:tcW w:w="4289" w:type="dxa"/>
            <w:noWrap/>
            <w:vAlign w:val="center"/>
          </w:tcPr>
          <w:p w14:paraId="025D6FCE">
            <w:pPr>
              <w:widowControl/>
              <w:rPr>
                <w:rFonts w:ascii="宋体" w:hAnsi="宋体" w:eastAsia="宋体" w:cs="宋体"/>
                <w:color w:val="000000"/>
                <w:kern w:val="0"/>
                <w:sz w:val="24"/>
              </w:rPr>
            </w:pPr>
            <w:r>
              <w:rPr>
                <w:rFonts w:hint="eastAsia" w:ascii="宋体" w:hAnsi="宋体" w:eastAsia="宋体" w:cs="宋体"/>
                <w:color w:val="000000"/>
                <w:kern w:val="0"/>
                <w:sz w:val="24"/>
              </w:rPr>
              <w:t>清洁，无渗水、积水；照明正常</w:t>
            </w:r>
          </w:p>
        </w:tc>
      </w:tr>
      <w:tr w14:paraId="548D05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715" w:type="dxa"/>
            <w:noWrap/>
            <w:vAlign w:val="center"/>
          </w:tcPr>
          <w:p w14:paraId="46F4B311">
            <w:pPr>
              <w:widowControl/>
              <w:jc w:val="center"/>
              <w:rPr>
                <w:rFonts w:ascii="宋体" w:hAnsi="宋体" w:eastAsia="宋体" w:cs="宋体"/>
                <w:kern w:val="0"/>
                <w:sz w:val="24"/>
              </w:rPr>
            </w:pPr>
            <w:r>
              <w:rPr>
                <w:rFonts w:hint="eastAsia" w:ascii="宋体" w:hAnsi="宋体" w:eastAsia="宋体" w:cs="宋体"/>
                <w:kern w:val="0"/>
                <w:sz w:val="24"/>
              </w:rPr>
              <w:t>28</w:t>
            </w:r>
          </w:p>
        </w:tc>
        <w:tc>
          <w:tcPr>
            <w:tcW w:w="4062" w:type="dxa"/>
            <w:noWrap/>
            <w:vAlign w:val="center"/>
          </w:tcPr>
          <w:p w14:paraId="3DBB4C75">
            <w:pPr>
              <w:widowControl/>
              <w:rPr>
                <w:rFonts w:ascii="宋体" w:hAnsi="宋体" w:eastAsia="宋体" w:cs="宋体"/>
                <w:kern w:val="0"/>
                <w:sz w:val="24"/>
              </w:rPr>
            </w:pPr>
            <w:r>
              <w:rPr>
                <w:rFonts w:hint="eastAsia" w:ascii="宋体" w:hAnsi="宋体" w:eastAsia="宋体" w:cs="宋体"/>
                <w:kern w:val="0"/>
                <w:sz w:val="24"/>
              </w:rPr>
              <w:t>底坑急停开关</w:t>
            </w:r>
          </w:p>
        </w:tc>
        <w:tc>
          <w:tcPr>
            <w:tcW w:w="4289" w:type="dxa"/>
            <w:noWrap/>
            <w:vAlign w:val="center"/>
          </w:tcPr>
          <w:p w14:paraId="510FCB6F">
            <w:pPr>
              <w:widowControl/>
              <w:rPr>
                <w:rFonts w:ascii="宋体" w:hAnsi="宋体" w:eastAsia="宋体" w:cs="宋体"/>
                <w:color w:val="000000"/>
                <w:kern w:val="0"/>
                <w:sz w:val="24"/>
              </w:rPr>
            </w:pPr>
            <w:r>
              <w:rPr>
                <w:rFonts w:hint="eastAsia" w:ascii="宋体" w:hAnsi="宋体" w:eastAsia="宋体" w:cs="宋体"/>
                <w:kern w:val="0"/>
                <w:sz w:val="24"/>
              </w:rPr>
              <w:t>工作正常</w:t>
            </w:r>
          </w:p>
        </w:tc>
      </w:tr>
    </w:tbl>
    <w:p w14:paraId="4A16D52D">
      <w:pPr>
        <w:jc w:val="right"/>
        <w:rPr>
          <w:rFonts w:ascii="宋体" w:hAnsi="宋体" w:eastAsia="宋体" w:cs="宋体"/>
          <w:sz w:val="24"/>
        </w:rPr>
      </w:pPr>
    </w:p>
    <w:p w14:paraId="03E276CD">
      <w:pPr>
        <w:jc w:val="right"/>
        <w:rPr>
          <w:rFonts w:ascii="宋体" w:hAnsi="宋体" w:eastAsia="宋体" w:cs="宋体"/>
          <w:b/>
          <w:bCs/>
          <w:kern w:val="0"/>
          <w:sz w:val="24"/>
        </w:rPr>
      </w:pPr>
      <w:r>
        <w:rPr>
          <w:rFonts w:hint="eastAsia" w:ascii="宋体" w:hAnsi="宋体" w:eastAsia="宋体" w:cs="宋体"/>
          <w:sz w:val="24"/>
        </w:rPr>
        <w:t>续表</w:t>
      </w:r>
    </w:p>
    <w:p w14:paraId="4676D0C8">
      <w:pPr>
        <w:adjustRightInd w:val="0"/>
        <w:snapToGrid w:val="0"/>
        <w:spacing w:line="360" w:lineRule="auto"/>
        <w:jc w:val="center"/>
        <w:rPr>
          <w:rFonts w:ascii="宋体" w:hAnsi="宋体" w:eastAsia="宋体" w:cs="宋体"/>
          <w:b/>
          <w:bCs/>
          <w:kern w:val="0"/>
          <w:sz w:val="24"/>
        </w:rPr>
      </w:pPr>
      <w:r>
        <w:rPr>
          <w:rFonts w:hint="eastAsia" w:ascii="宋体" w:hAnsi="宋体" w:eastAsia="宋体" w:cs="宋体"/>
          <w:b/>
          <w:bCs/>
          <w:kern w:val="0"/>
          <w:sz w:val="24"/>
        </w:rPr>
        <w:t>季度维保项目（内容）和要求</w:t>
      </w:r>
    </w:p>
    <w:tbl>
      <w:tblPr>
        <w:tblStyle w:val="2"/>
        <w:tblW w:w="0" w:type="auto"/>
        <w:tblInd w:w="113"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9"/>
        <w:gridCol w:w="3593"/>
        <w:gridCol w:w="4782"/>
      </w:tblGrid>
      <w:tr w14:paraId="0C8D0E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719" w:type="dxa"/>
            <w:noWrap/>
            <w:vAlign w:val="center"/>
          </w:tcPr>
          <w:p w14:paraId="3F82D59B">
            <w:pPr>
              <w:widowControl/>
              <w:jc w:val="center"/>
              <w:rPr>
                <w:rFonts w:ascii="宋体" w:hAnsi="宋体" w:eastAsia="宋体" w:cs="宋体"/>
                <w:b/>
                <w:bCs/>
                <w:kern w:val="0"/>
                <w:sz w:val="24"/>
              </w:rPr>
            </w:pPr>
            <w:r>
              <w:rPr>
                <w:rFonts w:hint="eastAsia" w:ascii="宋体" w:hAnsi="宋体" w:eastAsia="宋体" w:cs="宋体"/>
                <w:b/>
                <w:bCs/>
                <w:kern w:val="0"/>
                <w:sz w:val="24"/>
              </w:rPr>
              <w:t>序号</w:t>
            </w:r>
          </w:p>
        </w:tc>
        <w:tc>
          <w:tcPr>
            <w:tcW w:w="3593" w:type="dxa"/>
            <w:noWrap/>
            <w:vAlign w:val="center"/>
          </w:tcPr>
          <w:p w14:paraId="611061D3">
            <w:pPr>
              <w:widowControl/>
              <w:jc w:val="center"/>
              <w:rPr>
                <w:rFonts w:ascii="宋体" w:hAnsi="宋体" w:eastAsia="宋体" w:cs="宋体"/>
                <w:b/>
                <w:bCs/>
                <w:kern w:val="0"/>
                <w:sz w:val="24"/>
              </w:rPr>
            </w:pPr>
            <w:r>
              <w:rPr>
                <w:rFonts w:hint="eastAsia" w:ascii="宋体" w:hAnsi="宋体" w:eastAsia="宋体" w:cs="宋体"/>
                <w:b/>
                <w:bCs/>
                <w:kern w:val="0"/>
                <w:sz w:val="24"/>
              </w:rPr>
              <w:t>维保项目（内容）</w:t>
            </w:r>
          </w:p>
        </w:tc>
        <w:tc>
          <w:tcPr>
            <w:tcW w:w="4782" w:type="dxa"/>
            <w:noWrap/>
            <w:vAlign w:val="center"/>
          </w:tcPr>
          <w:p w14:paraId="32A51251">
            <w:pPr>
              <w:widowControl/>
              <w:jc w:val="center"/>
              <w:rPr>
                <w:rFonts w:ascii="宋体" w:hAnsi="宋体" w:eastAsia="宋体" w:cs="宋体"/>
                <w:b/>
                <w:bCs/>
                <w:kern w:val="0"/>
                <w:sz w:val="24"/>
              </w:rPr>
            </w:pPr>
            <w:r>
              <w:rPr>
                <w:rFonts w:hint="eastAsia" w:ascii="宋体" w:hAnsi="宋体" w:eastAsia="宋体" w:cs="宋体"/>
                <w:b/>
                <w:bCs/>
                <w:kern w:val="0"/>
                <w:sz w:val="24"/>
              </w:rPr>
              <w:t>维保基本要求</w:t>
            </w:r>
          </w:p>
        </w:tc>
      </w:tr>
      <w:tr w14:paraId="31373A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719" w:type="dxa"/>
            <w:noWrap/>
            <w:vAlign w:val="center"/>
          </w:tcPr>
          <w:p w14:paraId="496EE8FE">
            <w:pPr>
              <w:widowControl/>
              <w:jc w:val="center"/>
              <w:rPr>
                <w:rFonts w:ascii="宋体" w:hAnsi="宋体" w:eastAsia="宋体" w:cs="宋体"/>
                <w:kern w:val="0"/>
                <w:sz w:val="24"/>
              </w:rPr>
            </w:pPr>
            <w:r>
              <w:rPr>
                <w:rFonts w:hint="eastAsia" w:ascii="宋体" w:hAnsi="宋体" w:eastAsia="宋体" w:cs="宋体"/>
                <w:kern w:val="0"/>
                <w:sz w:val="24"/>
              </w:rPr>
              <w:t>1</w:t>
            </w:r>
          </w:p>
        </w:tc>
        <w:tc>
          <w:tcPr>
            <w:tcW w:w="3593" w:type="dxa"/>
            <w:noWrap/>
            <w:vAlign w:val="center"/>
          </w:tcPr>
          <w:p w14:paraId="4C67E32C">
            <w:pPr>
              <w:widowControl/>
              <w:rPr>
                <w:rFonts w:ascii="宋体" w:hAnsi="宋体" w:eastAsia="宋体" w:cs="宋体"/>
                <w:kern w:val="0"/>
                <w:sz w:val="24"/>
              </w:rPr>
            </w:pPr>
            <w:r>
              <w:rPr>
                <w:rFonts w:hint="eastAsia" w:ascii="宋体" w:hAnsi="宋体" w:eastAsia="宋体" w:cs="宋体"/>
                <w:kern w:val="0"/>
                <w:sz w:val="24"/>
              </w:rPr>
              <w:t>减速机润滑油</w:t>
            </w:r>
          </w:p>
        </w:tc>
        <w:tc>
          <w:tcPr>
            <w:tcW w:w="4782" w:type="dxa"/>
            <w:noWrap/>
            <w:vAlign w:val="center"/>
          </w:tcPr>
          <w:p w14:paraId="783D9AB5">
            <w:pPr>
              <w:widowControl/>
              <w:rPr>
                <w:rFonts w:ascii="宋体" w:hAnsi="宋体" w:eastAsia="宋体" w:cs="宋体"/>
                <w:kern w:val="0"/>
                <w:sz w:val="24"/>
              </w:rPr>
            </w:pPr>
            <w:r>
              <w:rPr>
                <w:rFonts w:hint="eastAsia" w:ascii="宋体" w:hAnsi="宋体" w:eastAsia="宋体" w:cs="宋体"/>
                <w:kern w:val="0"/>
                <w:sz w:val="24"/>
              </w:rPr>
              <w:t>油量适宜，除蜗杆伸出端外均无渗漏</w:t>
            </w:r>
          </w:p>
        </w:tc>
      </w:tr>
      <w:tr w14:paraId="40E3F4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719" w:type="dxa"/>
            <w:noWrap/>
            <w:vAlign w:val="center"/>
          </w:tcPr>
          <w:p w14:paraId="66736F73">
            <w:pPr>
              <w:widowControl/>
              <w:jc w:val="center"/>
              <w:rPr>
                <w:rFonts w:ascii="宋体" w:hAnsi="宋体" w:eastAsia="宋体" w:cs="宋体"/>
                <w:kern w:val="0"/>
                <w:sz w:val="24"/>
              </w:rPr>
            </w:pPr>
            <w:r>
              <w:rPr>
                <w:rFonts w:hint="eastAsia" w:ascii="宋体" w:hAnsi="宋体" w:eastAsia="宋体" w:cs="宋体"/>
                <w:kern w:val="0"/>
                <w:sz w:val="24"/>
              </w:rPr>
              <w:t>2</w:t>
            </w:r>
          </w:p>
        </w:tc>
        <w:tc>
          <w:tcPr>
            <w:tcW w:w="3593" w:type="dxa"/>
            <w:noWrap/>
            <w:vAlign w:val="center"/>
          </w:tcPr>
          <w:p w14:paraId="5EBA55AA">
            <w:pPr>
              <w:widowControl/>
              <w:rPr>
                <w:rFonts w:ascii="宋体" w:hAnsi="宋体" w:eastAsia="宋体" w:cs="宋体"/>
                <w:kern w:val="0"/>
                <w:sz w:val="24"/>
              </w:rPr>
            </w:pPr>
            <w:r>
              <w:rPr>
                <w:rFonts w:hint="eastAsia" w:ascii="宋体" w:hAnsi="宋体" w:eastAsia="宋体" w:cs="宋体"/>
                <w:kern w:val="0"/>
                <w:sz w:val="24"/>
              </w:rPr>
              <w:t>制动衬</w:t>
            </w:r>
          </w:p>
        </w:tc>
        <w:tc>
          <w:tcPr>
            <w:tcW w:w="4782" w:type="dxa"/>
            <w:noWrap/>
            <w:vAlign w:val="center"/>
          </w:tcPr>
          <w:p w14:paraId="089C02F6">
            <w:pPr>
              <w:widowControl/>
              <w:rPr>
                <w:rFonts w:ascii="宋体" w:hAnsi="宋体" w:eastAsia="宋体" w:cs="宋体"/>
                <w:kern w:val="0"/>
                <w:sz w:val="24"/>
              </w:rPr>
            </w:pPr>
            <w:r>
              <w:rPr>
                <w:rFonts w:hint="eastAsia" w:ascii="宋体" w:hAnsi="宋体" w:eastAsia="宋体" w:cs="宋体"/>
                <w:kern w:val="0"/>
                <w:sz w:val="24"/>
              </w:rPr>
              <w:t>清洁，磨损量不超过制造单位要求</w:t>
            </w:r>
          </w:p>
        </w:tc>
      </w:tr>
      <w:tr w14:paraId="0346F0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719" w:type="dxa"/>
            <w:noWrap/>
            <w:vAlign w:val="center"/>
          </w:tcPr>
          <w:p w14:paraId="5D2216E3">
            <w:pPr>
              <w:widowControl/>
              <w:jc w:val="center"/>
              <w:rPr>
                <w:rFonts w:ascii="宋体" w:hAnsi="宋体" w:eastAsia="宋体" w:cs="宋体"/>
                <w:kern w:val="0"/>
                <w:sz w:val="24"/>
              </w:rPr>
            </w:pPr>
            <w:r>
              <w:rPr>
                <w:rFonts w:hint="eastAsia" w:ascii="宋体" w:hAnsi="宋体" w:eastAsia="宋体" w:cs="宋体"/>
                <w:kern w:val="0"/>
                <w:sz w:val="24"/>
              </w:rPr>
              <w:t>3</w:t>
            </w:r>
          </w:p>
        </w:tc>
        <w:tc>
          <w:tcPr>
            <w:tcW w:w="3593" w:type="dxa"/>
            <w:noWrap/>
            <w:vAlign w:val="center"/>
          </w:tcPr>
          <w:p w14:paraId="439A26C0">
            <w:pPr>
              <w:widowControl/>
              <w:rPr>
                <w:rFonts w:ascii="宋体" w:hAnsi="宋体" w:eastAsia="宋体" w:cs="宋体"/>
                <w:kern w:val="0"/>
                <w:sz w:val="24"/>
              </w:rPr>
            </w:pPr>
            <w:r>
              <w:rPr>
                <w:rFonts w:hint="eastAsia" w:ascii="宋体" w:hAnsi="宋体" w:eastAsia="宋体" w:cs="宋体"/>
                <w:kern w:val="0"/>
                <w:sz w:val="24"/>
              </w:rPr>
              <w:t>位置脉冲发生器</w:t>
            </w:r>
          </w:p>
        </w:tc>
        <w:tc>
          <w:tcPr>
            <w:tcW w:w="4782" w:type="dxa"/>
            <w:noWrap/>
            <w:vAlign w:val="center"/>
          </w:tcPr>
          <w:p w14:paraId="6AFF1BD6">
            <w:pPr>
              <w:widowControl/>
              <w:rPr>
                <w:rFonts w:ascii="宋体" w:hAnsi="宋体" w:eastAsia="宋体" w:cs="宋体"/>
                <w:kern w:val="0"/>
                <w:sz w:val="24"/>
              </w:rPr>
            </w:pPr>
            <w:r>
              <w:rPr>
                <w:rFonts w:hint="eastAsia" w:ascii="宋体" w:hAnsi="宋体" w:eastAsia="宋体" w:cs="宋体"/>
                <w:kern w:val="0"/>
                <w:sz w:val="24"/>
              </w:rPr>
              <w:t>工作正常</w:t>
            </w:r>
          </w:p>
        </w:tc>
      </w:tr>
      <w:tr w14:paraId="119120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719" w:type="dxa"/>
            <w:noWrap/>
            <w:vAlign w:val="center"/>
          </w:tcPr>
          <w:p w14:paraId="73B9061C">
            <w:pPr>
              <w:widowControl/>
              <w:jc w:val="center"/>
              <w:rPr>
                <w:rFonts w:ascii="宋体" w:hAnsi="宋体" w:eastAsia="宋体" w:cs="宋体"/>
                <w:kern w:val="0"/>
                <w:sz w:val="24"/>
              </w:rPr>
            </w:pPr>
            <w:r>
              <w:rPr>
                <w:rFonts w:hint="eastAsia" w:ascii="宋体" w:hAnsi="宋体" w:eastAsia="宋体" w:cs="宋体"/>
                <w:kern w:val="0"/>
                <w:sz w:val="24"/>
              </w:rPr>
              <w:t>4</w:t>
            </w:r>
          </w:p>
        </w:tc>
        <w:tc>
          <w:tcPr>
            <w:tcW w:w="3593" w:type="dxa"/>
            <w:noWrap/>
            <w:vAlign w:val="center"/>
          </w:tcPr>
          <w:p w14:paraId="4B0D7942">
            <w:pPr>
              <w:widowControl/>
              <w:rPr>
                <w:rFonts w:ascii="宋体" w:hAnsi="宋体" w:eastAsia="宋体" w:cs="宋体"/>
                <w:kern w:val="0"/>
                <w:sz w:val="24"/>
              </w:rPr>
            </w:pPr>
            <w:r>
              <w:rPr>
                <w:rFonts w:hint="eastAsia" w:ascii="宋体" w:hAnsi="宋体" w:eastAsia="宋体" w:cs="宋体"/>
                <w:kern w:val="0"/>
                <w:sz w:val="24"/>
              </w:rPr>
              <w:t>选层器动静触点</w:t>
            </w:r>
          </w:p>
        </w:tc>
        <w:tc>
          <w:tcPr>
            <w:tcW w:w="4782" w:type="dxa"/>
            <w:noWrap/>
            <w:vAlign w:val="center"/>
          </w:tcPr>
          <w:p w14:paraId="6DE3E542">
            <w:pPr>
              <w:widowControl/>
              <w:rPr>
                <w:rFonts w:ascii="宋体" w:hAnsi="宋体" w:eastAsia="宋体" w:cs="宋体"/>
                <w:kern w:val="0"/>
                <w:sz w:val="24"/>
              </w:rPr>
            </w:pPr>
            <w:r>
              <w:rPr>
                <w:rFonts w:hint="eastAsia" w:ascii="宋体" w:hAnsi="宋体" w:eastAsia="宋体" w:cs="宋体"/>
                <w:kern w:val="0"/>
                <w:sz w:val="24"/>
              </w:rPr>
              <w:t>清洁，无烧蚀</w:t>
            </w:r>
          </w:p>
        </w:tc>
      </w:tr>
      <w:tr w14:paraId="6431AA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719" w:type="dxa"/>
            <w:noWrap/>
            <w:vAlign w:val="center"/>
          </w:tcPr>
          <w:p w14:paraId="78AC66F8">
            <w:pPr>
              <w:widowControl/>
              <w:jc w:val="center"/>
              <w:rPr>
                <w:rFonts w:ascii="宋体" w:hAnsi="宋体" w:eastAsia="宋体" w:cs="宋体"/>
                <w:kern w:val="0"/>
                <w:sz w:val="24"/>
              </w:rPr>
            </w:pPr>
            <w:r>
              <w:rPr>
                <w:rFonts w:hint="eastAsia" w:ascii="宋体" w:hAnsi="宋体" w:eastAsia="宋体" w:cs="宋体"/>
                <w:kern w:val="0"/>
                <w:sz w:val="24"/>
              </w:rPr>
              <w:t>5</w:t>
            </w:r>
          </w:p>
        </w:tc>
        <w:tc>
          <w:tcPr>
            <w:tcW w:w="3593" w:type="dxa"/>
            <w:noWrap/>
            <w:vAlign w:val="center"/>
          </w:tcPr>
          <w:p w14:paraId="52B29F56">
            <w:pPr>
              <w:widowControl/>
              <w:rPr>
                <w:rFonts w:ascii="宋体" w:hAnsi="宋体" w:eastAsia="宋体" w:cs="宋体"/>
                <w:kern w:val="0"/>
                <w:sz w:val="24"/>
              </w:rPr>
            </w:pPr>
            <w:r>
              <w:rPr>
                <w:rFonts w:hint="eastAsia" w:ascii="宋体" w:hAnsi="宋体" w:eastAsia="宋体" w:cs="宋体"/>
                <w:kern w:val="0"/>
                <w:sz w:val="24"/>
              </w:rPr>
              <w:t>曳引轮槽、曳引钢丝绳</w:t>
            </w:r>
          </w:p>
        </w:tc>
        <w:tc>
          <w:tcPr>
            <w:tcW w:w="4782" w:type="dxa"/>
            <w:noWrap/>
            <w:vAlign w:val="center"/>
          </w:tcPr>
          <w:p w14:paraId="15EF3237">
            <w:pPr>
              <w:widowControl/>
              <w:rPr>
                <w:rFonts w:ascii="宋体" w:hAnsi="宋体" w:eastAsia="宋体" w:cs="宋体"/>
                <w:kern w:val="0"/>
                <w:sz w:val="24"/>
              </w:rPr>
            </w:pPr>
            <w:r>
              <w:rPr>
                <w:rFonts w:hint="eastAsia" w:ascii="宋体" w:hAnsi="宋体" w:eastAsia="宋体" w:cs="宋体"/>
                <w:kern w:val="0"/>
                <w:sz w:val="24"/>
              </w:rPr>
              <w:t>清洁，无严重油腻，张力均匀</w:t>
            </w:r>
          </w:p>
        </w:tc>
      </w:tr>
      <w:tr w14:paraId="180BA8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719" w:type="dxa"/>
            <w:noWrap/>
            <w:vAlign w:val="center"/>
          </w:tcPr>
          <w:p w14:paraId="1C50146C">
            <w:pPr>
              <w:widowControl/>
              <w:jc w:val="center"/>
              <w:rPr>
                <w:rFonts w:ascii="宋体" w:hAnsi="宋体" w:eastAsia="宋体" w:cs="宋体"/>
                <w:kern w:val="0"/>
                <w:sz w:val="24"/>
              </w:rPr>
            </w:pPr>
            <w:r>
              <w:rPr>
                <w:rFonts w:hint="eastAsia" w:ascii="宋体" w:hAnsi="宋体" w:eastAsia="宋体" w:cs="宋体"/>
                <w:kern w:val="0"/>
                <w:sz w:val="24"/>
              </w:rPr>
              <w:t>6</w:t>
            </w:r>
          </w:p>
        </w:tc>
        <w:tc>
          <w:tcPr>
            <w:tcW w:w="3593" w:type="dxa"/>
            <w:noWrap/>
            <w:vAlign w:val="center"/>
          </w:tcPr>
          <w:p w14:paraId="6286FF10">
            <w:pPr>
              <w:widowControl/>
              <w:rPr>
                <w:rFonts w:ascii="宋体" w:hAnsi="宋体" w:eastAsia="宋体" w:cs="宋体"/>
                <w:kern w:val="0"/>
                <w:sz w:val="24"/>
              </w:rPr>
            </w:pPr>
            <w:r>
              <w:rPr>
                <w:rFonts w:hint="eastAsia" w:ascii="宋体" w:hAnsi="宋体" w:eastAsia="宋体" w:cs="宋体"/>
                <w:kern w:val="0"/>
                <w:sz w:val="24"/>
              </w:rPr>
              <w:t>限速器轮槽、限速器钢丝绳</w:t>
            </w:r>
          </w:p>
        </w:tc>
        <w:tc>
          <w:tcPr>
            <w:tcW w:w="4782" w:type="dxa"/>
            <w:noWrap/>
            <w:vAlign w:val="center"/>
          </w:tcPr>
          <w:p w14:paraId="28E9BADA">
            <w:pPr>
              <w:widowControl/>
              <w:rPr>
                <w:rFonts w:ascii="宋体" w:hAnsi="宋体" w:eastAsia="宋体" w:cs="宋体"/>
                <w:kern w:val="0"/>
                <w:sz w:val="24"/>
              </w:rPr>
            </w:pPr>
            <w:r>
              <w:rPr>
                <w:rFonts w:hint="eastAsia" w:ascii="宋体" w:hAnsi="宋体" w:eastAsia="宋体" w:cs="宋体"/>
                <w:kern w:val="0"/>
                <w:sz w:val="24"/>
              </w:rPr>
              <w:t>清洁，无严重油腻</w:t>
            </w:r>
          </w:p>
        </w:tc>
      </w:tr>
      <w:tr w14:paraId="2AD0FA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719" w:type="dxa"/>
            <w:noWrap/>
            <w:vAlign w:val="center"/>
          </w:tcPr>
          <w:p w14:paraId="7F281159">
            <w:pPr>
              <w:widowControl/>
              <w:jc w:val="center"/>
              <w:rPr>
                <w:rFonts w:ascii="宋体" w:hAnsi="宋体" w:eastAsia="宋体" w:cs="宋体"/>
                <w:kern w:val="0"/>
                <w:sz w:val="24"/>
              </w:rPr>
            </w:pPr>
            <w:r>
              <w:rPr>
                <w:rFonts w:hint="eastAsia" w:ascii="宋体" w:hAnsi="宋体" w:eastAsia="宋体" w:cs="宋体"/>
                <w:kern w:val="0"/>
                <w:sz w:val="24"/>
              </w:rPr>
              <w:t>7</w:t>
            </w:r>
          </w:p>
        </w:tc>
        <w:tc>
          <w:tcPr>
            <w:tcW w:w="3593" w:type="dxa"/>
            <w:noWrap/>
            <w:vAlign w:val="center"/>
          </w:tcPr>
          <w:p w14:paraId="097D4323">
            <w:pPr>
              <w:widowControl/>
              <w:rPr>
                <w:rFonts w:ascii="宋体" w:hAnsi="宋体" w:eastAsia="宋体" w:cs="宋体"/>
                <w:kern w:val="0"/>
                <w:sz w:val="24"/>
              </w:rPr>
            </w:pPr>
            <w:r>
              <w:rPr>
                <w:rFonts w:hint="eastAsia" w:ascii="宋体" w:hAnsi="宋体" w:eastAsia="宋体" w:cs="宋体"/>
                <w:kern w:val="0"/>
                <w:sz w:val="24"/>
              </w:rPr>
              <w:t>靴衬、滚轮</w:t>
            </w:r>
          </w:p>
        </w:tc>
        <w:tc>
          <w:tcPr>
            <w:tcW w:w="4782" w:type="dxa"/>
            <w:noWrap/>
            <w:vAlign w:val="center"/>
          </w:tcPr>
          <w:p w14:paraId="0BF79E0A">
            <w:pPr>
              <w:widowControl/>
              <w:rPr>
                <w:rFonts w:ascii="宋体" w:hAnsi="宋体" w:eastAsia="宋体" w:cs="宋体"/>
                <w:kern w:val="0"/>
                <w:sz w:val="24"/>
              </w:rPr>
            </w:pPr>
            <w:r>
              <w:rPr>
                <w:rFonts w:hint="eastAsia" w:ascii="宋体" w:hAnsi="宋体" w:eastAsia="宋体" w:cs="宋体"/>
                <w:kern w:val="0"/>
                <w:sz w:val="24"/>
              </w:rPr>
              <w:t>清洁，磨损量不超过制造厂家要求</w:t>
            </w:r>
          </w:p>
        </w:tc>
      </w:tr>
      <w:tr w14:paraId="1C3ED9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719" w:type="dxa"/>
            <w:noWrap/>
            <w:vAlign w:val="center"/>
          </w:tcPr>
          <w:p w14:paraId="6B6CB71E">
            <w:pPr>
              <w:widowControl/>
              <w:jc w:val="center"/>
              <w:rPr>
                <w:rFonts w:ascii="宋体" w:hAnsi="宋体" w:eastAsia="宋体" w:cs="宋体"/>
                <w:kern w:val="0"/>
                <w:sz w:val="24"/>
              </w:rPr>
            </w:pPr>
            <w:r>
              <w:rPr>
                <w:rFonts w:hint="eastAsia" w:ascii="宋体" w:hAnsi="宋体" w:eastAsia="宋体" w:cs="宋体"/>
                <w:kern w:val="0"/>
                <w:sz w:val="24"/>
              </w:rPr>
              <w:t>8</w:t>
            </w:r>
          </w:p>
        </w:tc>
        <w:tc>
          <w:tcPr>
            <w:tcW w:w="3593" w:type="dxa"/>
            <w:noWrap/>
            <w:vAlign w:val="center"/>
          </w:tcPr>
          <w:p w14:paraId="58B5F737">
            <w:pPr>
              <w:widowControl/>
              <w:rPr>
                <w:rFonts w:ascii="宋体" w:hAnsi="宋体" w:eastAsia="宋体" w:cs="宋体"/>
                <w:kern w:val="0"/>
                <w:sz w:val="24"/>
              </w:rPr>
            </w:pPr>
            <w:r>
              <w:rPr>
                <w:rFonts w:hint="eastAsia" w:ascii="宋体" w:hAnsi="宋体" w:eastAsia="宋体" w:cs="宋体"/>
                <w:kern w:val="0"/>
                <w:sz w:val="24"/>
              </w:rPr>
              <w:t>验证轿门关闭的电气安全装置</w:t>
            </w:r>
          </w:p>
        </w:tc>
        <w:tc>
          <w:tcPr>
            <w:tcW w:w="4782" w:type="dxa"/>
            <w:noWrap/>
            <w:vAlign w:val="center"/>
          </w:tcPr>
          <w:p w14:paraId="33E943F1">
            <w:pPr>
              <w:widowControl/>
              <w:rPr>
                <w:rFonts w:ascii="宋体" w:hAnsi="宋体" w:eastAsia="宋体" w:cs="宋体"/>
                <w:kern w:val="0"/>
                <w:sz w:val="24"/>
              </w:rPr>
            </w:pPr>
            <w:r>
              <w:rPr>
                <w:rFonts w:hint="eastAsia" w:ascii="宋体" w:hAnsi="宋体" w:eastAsia="宋体" w:cs="宋体"/>
                <w:kern w:val="0"/>
                <w:sz w:val="24"/>
              </w:rPr>
              <w:t>工作正常</w:t>
            </w:r>
          </w:p>
        </w:tc>
      </w:tr>
      <w:tr w14:paraId="02A877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719" w:type="dxa"/>
            <w:noWrap/>
            <w:vAlign w:val="center"/>
          </w:tcPr>
          <w:p w14:paraId="3D629DAA">
            <w:pPr>
              <w:widowControl/>
              <w:jc w:val="center"/>
              <w:rPr>
                <w:rFonts w:ascii="宋体" w:hAnsi="宋体" w:eastAsia="宋体" w:cs="宋体"/>
                <w:kern w:val="0"/>
                <w:sz w:val="24"/>
              </w:rPr>
            </w:pPr>
            <w:r>
              <w:rPr>
                <w:rFonts w:hint="eastAsia" w:ascii="宋体" w:hAnsi="宋体" w:eastAsia="宋体" w:cs="宋体"/>
                <w:kern w:val="0"/>
                <w:sz w:val="24"/>
              </w:rPr>
              <w:t>9</w:t>
            </w:r>
          </w:p>
        </w:tc>
        <w:tc>
          <w:tcPr>
            <w:tcW w:w="3593" w:type="dxa"/>
            <w:noWrap/>
            <w:vAlign w:val="center"/>
          </w:tcPr>
          <w:p w14:paraId="0490BCA2">
            <w:pPr>
              <w:widowControl/>
              <w:rPr>
                <w:rFonts w:ascii="宋体" w:hAnsi="宋体" w:eastAsia="宋体" w:cs="宋体"/>
                <w:kern w:val="0"/>
                <w:sz w:val="24"/>
              </w:rPr>
            </w:pPr>
            <w:r>
              <w:rPr>
                <w:rFonts w:hint="eastAsia" w:ascii="宋体" w:hAnsi="宋体" w:eastAsia="宋体" w:cs="宋体"/>
                <w:kern w:val="0"/>
                <w:sz w:val="24"/>
              </w:rPr>
              <w:t>层门、轿门系统中传动钢丝绳、链条、胶带</w:t>
            </w:r>
          </w:p>
        </w:tc>
        <w:tc>
          <w:tcPr>
            <w:tcW w:w="4782" w:type="dxa"/>
            <w:noWrap/>
            <w:vAlign w:val="center"/>
          </w:tcPr>
          <w:p w14:paraId="6783DD8D">
            <w:pPr>
              <w:widowControl/>
              <w:rPr>
                <w:rFonts w:ascii="宋体" w:hAnsi="宋体" w:eastAsia="宋体" w:cs="宋体"/>
                <w:kern w:val="0"/>
                <w:sz w:val="24"/>
              </w:rPr>
            </w:pPr>
            <w:r>
              <w:rPr>
                <w:rFonts w:hint="eastAsia" w:ascii="宋体" w:hAnsi="宋体" w:eastAsia="宋体" w:cs="宋体"/>
                <w:kern w:val="0"/>
                <w:sz w:val="24"/>
              </w:rPr>
              <w:t>按照制造单位要求进行清洁、调整</w:t>
            </w:r>
          </w:p>
        </w:tc>
      </w:tr>
      <w:tr w14:paraId="15AE72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719" w:type="dxa"/>
            <w:noWrap/>
            <w:vAlign w:val="center"/>
          </w:tcPr>
          <w:p w14:paraId="24AB3F0A">
            <w:pPr>
              <w:widowControl/>
              <w:jc w:val="center"/>
              <w:rPr>
                <w:rFonts w:ascii="宋体" w:hAnsi="宋体" w:eastAsia="宋体" w:cs="宋体"/>
                <w:kern w:val="0"/>
                <w:sz w:val="24"/>
              </w:rPr>
            </w:pPr>
            <w:r>
              <w:rPr>
                <w:rFonts w:hint="eastAsia" w:ascii="宋体" w:hAnsi="宋体" w:eastAsia="宋体" w:cs="宋体"/>
                <w:kern w:val="0"/>
                <w:sz w:val="24"/>
              </w:rPr>
              <w:t>10</w:t>
            </w:r>
          </w:p>
        </w:tc>
        <w:tc>
          <w:tcPr>
            <w:tcW w:w="3593" w:type="dxa"/>
            <w:noWrap/>
            <w:vAlign w:val="center"/>
          </w:tcPr>
          <w:p w14:paraId="0017B04B">
            <w:pPr>
              <w:widowControl/>
              <w:rPr>
                <w:rFonts w:ascii="宋体" w:hAnsi="宋体" w:eastAsia="宋体" w:cs="宋体"/>
                <w:kern w:val="0"/>
                <w:sz w:val="24"/>
              </w:rPr>
            </w:pPr>
            <w:r>
              <w:rPr>
                <w:rFonts w:hint="eastAsia" w:ascii="宋体" w:hAnsi="宋体" w:eastAsia="宋体" w:cs="宋体"/>
                <w:kern w:val="0"/>
                <w:sz w:val="24"/>
              </w:rPr>
              <w:t>层门门导靴</w:t>
            </w:r>
          </w:p>
        </w:tc>
        <w:tc>
          <w:tcPr>
            <w:tcW w:w="4782" w:type="dxa"/>
            <w:noWrap/>
            <w:vAlign w:val="center"/>
          </w:tcPr>
          <w:p w14:paraId="5ED7C84D">
            <w:pPr>
              <w:widowControl/>
              <w:rPr>
                <w:rFonts w:ascii="宋体" w:hAnsi="宋体" w:eastAsia="宋体" w:cs="宋体"/>
                <w:kern w:val="0"/>
                <w:sz w:val="24"/>
              </w:rPr>
            </w:pPr>
            <w:r>
              <w:rPr>
                <w:rFonts w:hint="eastAsia" w:ascii="宋体" w:hAnsi="宋体" w:eastAsia="宋体" w:cs="宋体"/>
                <w:kern w:val="0"/>
                <w:sz w:val="24"/>
              </w:rPr>
              <w:t>磨损量不超过制造单位要求</w:t>
            </w:r>
          </w:p>
        </w:tc>
      </w:tr>
      <w:tr w14:paraId="15DB0F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719" w:type="dxa"/>
            <w:noWrap/>
            <w:vAlign w:val="center"/>
          </w:tcPr>
          <w:p w14:paraId="49A047DC">
            <w:pPr>
              <w:widowControl/>
              <w:jc w:val="center"/>
              <w:rPr>
                <w:rFonts w:ascii="宋体" w:hAnsi="宋体" w:eastAsia="宋体" w:cs="宋体"/>
                <w:kern w:val="0"/>
                <w:sz w:val="24"/>
              </w:rPr>
            </w:pPr>
            <w:r>
              <w:rPr>
                <w:rFonts w:hint="eastAsia" w:ascii="宋体" w:hAnsi="宋体" w:eastAsia="宋体" w:cs="宋体"/>
                <w:kern w:val="0"/>
                <w:sz w:val="24"/>
              </w:rPr>
              <w:t>11</w:t>
            </w:r>
          </w:p>
        </w:tc>
        <w:tc>
          <w:tcPr>
            <w:tcW w:w="3593" w:type="dxa"/>
            <w:noWrap/>
            <w:vAlign w:val="center"/>
          </w:tcPr>
          <w:p w14:paraId="0FF9A021">
            <w:pPr>
              <w:widowControl/>
              <w:rPr>
                <w:rFonts w:ascii="宋体" w:hAnsi="宋体" w:eastAsia="宋体" w:cs="宋体"/>
                <w:kern w:val="0"/>
                <w:sz w:val="24"/>
              </w:rPr>
            </w:pPr>
            <w:r>
              <w:rPr>
                <w:rFonts w:hint="eastAsia" w:ascii="宋体" w:hAnsi="宋体" w:eastAsia="宋体" w:cs="宋体"/>
                <w:kern w:val="0"/>
                <w:sz w:val="24"/>
              </w:rPr>
              <w:t>消防开关</w:t>
            </w:r>
          </w:p>
        </w:tc>
        <w:tc>
          <w:tcPr>
            <w:tcW w:w="4782" w:type="dxa"/>
            <w:noWrap/>
            <w:vAlign w:val="center"/>
          </w:tcPr>
          <w:p w14:paraId="493551AA">
            <w:pPr>
              <w:widowControl/>
              <w:rPr>
                <w:rFonts w:ascii="宋体" w:hAnsi="宋体" w:eastAsia="宋体" w:cs="宋体"/>
                <w:kern w:val="0"/>
                <w:sz w:val="24"/>
              </w:rPr>
            </w:pPr>
            <w:r>
              <w:rPr>
                <w:rFonts w:hint="eastAsia" w:ascii="宋体" w:hAnsi="宋体" w:eastAsia="宋体" w:cs="宋体"/>
                <w:kern w:val="0"/>
                <w:sz w:val="24"/>
              </w:rPr>
              <w:t>工作正常，功能有效</w:t>
            </w:r>
          </w:p>
        </w:tc>
      </w:tr>
      <w:tr w14:paraId="66FE9D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719" w:type="dxa"/>
            <w:noWrap/>
            <w:vAlign w:val="center"/>
          </w:tcPr>
          <w:p w14:paraId="3766EDF7">
            <w:pPr>
              <w:widowControl/>
              <w:jc w:val="center"/>
              <w:rPr>
                <w:rFonts w:ascii="宋体" w:hAnsi="宋体" w:eastAsia="宋体" w:cs="宋体"/>
                <w:kern w:val="0"/>
                <w:sz w:val="24"/>
              </w:rPr>
            </w:pPr>
            <w:r>
              <w:rPr>
                <w:rFonts w:hint="eastAsia" w:ascii="宋体" w:hAnsi="宋体" w:eastAsia="宋体" w:cs="宋体"/>
                <w:kern w:val="0"/>
                <w:sz w:val="24"/>
              </w:rPr>
              <w:t>12</w:t>
            </w:r>
          </w:p>
        </w:tc>
        <w:tc>
          <w:tcPr>
            <w:tcW w:w="3593" w:type="dxa"/>
            <w:noWrap/>
            <w:vAlign w:val="center"/>
          </w:tcPr>
          <w:p w14:paraId="5AB2B00E">
            <w:pPr>
              <w:widowControl/>
              <w:rPr>
                <w:rFonts w:ascii="宋体" w:hAnsi="宋体" w:eastAsia="宋体" w:cs="宋体"/>
                <w:kern w:val="0"/>
                <w:sz w:val="24"/>
              </w:rPr>
            </w:pPr>
            <w:r>
              <w:rPr>
                <w:rFonts w:hint="eastAsia" w:ascii="宋体" w:hAnsi="宋体" w:eastAsia="宋体" w:cs="宋体"/>
                <w:kern w:val="0"/>
                <w:sz w:val="24"/>
              </w:rPr>
              <w:t>耗能缓冲器</w:t>
            </w:r>
          </w:p>
        </w:tc>
        <w:tc>
          <w:tcPr>
            <w:tcW w:w="4782" w:type="dxa"/>
            <w:noWrap/>
            <w:vAlign w:val="center"/>
          </w:tcPr>
          <w:p w14:paraId="13BECFDB">
            <w:pPr>
              <w:widowControl/>
              <w:rPr>
                <w:rFonts w:ascii="宋体" w:hAnsi="宋体" w:eastAsia="宋体" w:cs="宋体"/>
                <w:kern w:val="0"/>
                <w:sz w:val="24"/>
              </w:rPr>
            </w:pPr>
            <w:r>
              <w:rPr>
                <w:rFonts w:hint="eastAsia" w:ascii="宋体" w:hAnsi="宋体" w:eastAsia="宋体" w:cs="宋体"/>
                <w:kern w:val="0"/>
                <w:sz w:val="24"/>
              </w:rPr>
              <w:t>电气安全装置功能有效，油量适宜，柱塞无锈蚀</w:t>
            </w:r>
          </w:p>
        </w:tc>
      </w:tr>
      <w:tr w14:paraId="1492D4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719" w:type="dxa"/>
            <w:noWrap/>
            <w:vAlign w:val="center"/>
          </w:tcPr>
          <w:p w14:paraId="17EF8CAE">
            <w:pPr>
              <w:widowControl/>
              <w:jc w:val="center"/>
              <w:rPr>
                <w:rFonts w:ascii="宋体" w:hAnsi="宋体" w:eastAsia="宋体" w:cs="宋体"/>
                <w:kern w:val="0"/>
                <w:sz w:val="24"/>
              </w:rPr>
            </w:pPr>
            <w:r>
              <w:rPr>
                <w:rFonts w:hint="eastAsia" w:ascii="宋体" w:hAnsi="宋体" w:eastAsia="宋体" w:cs="宋体"/>
                <w:kern w:val="0"/>
                <w:sz w:val="24"/>
              </w:rPr>
              <w:t>13</w:t>
            </w:r>
          </w:p>
        </w:tc>
        <w:tc>
          <w:tcPr>
            <w:tcW w:w="3593" w:type="dxa"/>
            <w:noWrap/>
            <w:vAlign w:val="center"/>
          </w:tcPr>
          <w:p w14:paraId="2E76BEF1">
            <w:pPr>
              <w:widowControl/>
              <w:rPr>
                <w:rFonts w:ascii="宋体" w:hAnsi="宋体" w:eastAsia="宋体" w:cs="宋体"/>
                <w:kern w:val="0"/>
                <w:sz w:val="24"/>
              </w:rPr>
            </w:pPr>
            <w:r>
              <w:rPr>
                <w:rFonts w:hint="eastAsia" w:ascii="宋体" w:hAnsi="宋体" w:eastAsia="宋体" w:cs="宋体"/>
                <w:kern w:val="0"/>
                <w:sz w:val="24"/>
              </w:rPr>
              <w:t>限速器张紧轮装置和电气安全装置</w:t>
            </w:r>
          </w:p>
        </w:tc>
        <w:tc>
          <w:tcPr>
            <w:tcW w:w="4782" w:type="dxa"/>
            <w:noWrap/>
            <w:vAlign w:val="center"/>
          </w:tcPr>
          <w:p w14:paraId="5FFD8464">
            <w:pPr>
              <w:widowControl/>
              <w:rPr>
                <w:rFonts w:ascii="宋体" w:hAnsi="宋体" w:eastAsia="宋体" w:cs="宋体"/>
                <w:kern w:val="0"/>
                <w:sz w:val="24"/>
              </w:rPr>
            </w:pPr>
            <w:r>
              <w:rPr>
                <w:rFonts w:hint="eastAsia" w:ascii="宋体" w:hAnsi="宋体" w:eastAsia="宋体" w:cs="宋体"/>
                <w:kern w:val="0"/>
                <w:sz w:val="24"/>
              </w:rPr>
              <w:t>工作正常</w:t>
            </w:r>
          </w:p>
        </w:tc>
      </w:tr>
    </w:tbl>
    <w:p w14:paraId="18FECA88">
      <w:pPr>
        <w:adjustRightInd w:val="0"/>
        <w:snapToGrid w:val="0"/>
        <w:spacing w:line="360" w:lineRule="auto"/>
        <w:ind w:firstLine="420"/>
        <w:jc w:val="center"/>
        <w:rPr>
          <w:rFonts w:ascii="宋体" w:hAnsi="宋体" w:eastAsia="宋体" w:cs="宋体"/>
          <w:kern w:val="0"/>
          <w:sz w:val="24"/>
        </w:rPr>
      </w:pPr>
    </w:p>
    <w:p w14:paraId="3A8DFA67">
      <w:pPr>
        <w:rPr>
          <w:rFonts w:ascii="宋体" w:hAnsi="宋体" w:eastAsia="宋体" w:cs="宋体"/>
          <w:b/>
          <w:bCs/>
          <w:kern w:val="0"/>
          <w:sz w:val="24"/>
        </w:rPr>
      </w:pPr>
    </w:p>
    <w:p w14:paraId="540B5F0F">
      <w:pPr>
        <w:rPr>
          <w:rFonts w:ascii="宋体" w:hAnsi="宋体" w:eastAsia="宋体" w:cs="宋体"/>
          <w:sz w:val="24"/>
        </w:rPr>
      </w:pPr>
      <w:r>
        <w:rPr>
          <w:rFonts w:ascii="宋体" w:hAnsi="宋体" w:eastAsia="宋体" w:cs="宋体"/>
          <w:sz w:val="24"/>
        </w:rPr>
        <w:br w:type="page"/>
      </w:r>
    </w:p>
    <w:p w14:paraId="339CF5CC">
      <w:pPr>
        <w:widowControl/>
        <w:adjustRightInd w:val="0"/>
        <w:snapToGrid w:val="0"/>
        <w:spacing w:line="360" w:lineRule="auto"/>
        <w:jc w:val="center"/>
        <w:rPr>
          <w:rFonts w:ascii="宋体" w:hAnsi="宋体" w:eastAsia="宋体" w:cs="宋体"/>
          <w:b/>
          <w:bCs/>
          <w:color w:val="000000"/>
          <w:kern w:val="0"/>
          <w:sz w:val="24"/>
        </w:rPr>
      </w:pPr>
      <w:r>
        <w:rPr>
          <w:rFonts w:hint="eastAsia" w:ascii="宋体" w:hAnsi="宋体" w:eastAsia="宋体" w:cs="宋体"/>
          <w:b/>
          <w:bCs/>
          <w:color w:val="000000"/>
          <w:kern w:val="0"/>
          <w:sz w:val="24"/>
        </w:rPr>
        <w:t>年度维保项目（内容）和要求</w:t>
      </w:r>
    </w:p>
    <w:tbl>
      <w:tblPr>
        <w:tblStyle w:val="2"/>
        <w:tblW w:w="0" w:type="auto"/>
        <w:tblInd w:w="113"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45"/>
        <w:gridCol w:w="3390"/>
        <w:gridCol w:w="4959"/>
      </w:tblGrid>
      <w:tr w14:paraId="299283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745" w:type="dxa"/>
            <w:noWrap/>
            <w:vAlign w:val="center"/>
          </w:tcPr>
          <w:p w14:paraId="3E6C9B7D">
            <w:pPr>
              <w:widowControl/>
              <w:adjustRightInd w:val="0"/>
              <w:snapToGrid w:val="0"/>
              <w:spacing w:line="360" w:lineRule="auto"/>
              <w:jc w:val="center"/>
              <w:rPr>
                <w:rFonts w:ascii="宋体" w:hAnsi="宋体" w:eastAsia="宋体" w:cs="宋体"/>
                <w:b/>
                <w:bCs/>
                <w:color w:val="000000"/>
                <w:kern w:val="0"/>
                <w:sz w:val="24"/>
              </w:rPr>
            </w:pPr>
            <w:r>
              <w:rPr>
                <w:rFonts w:hint="eastAsia" w:ascii="宋体" w:hAnsi="宋体" w:eastAsia="宋体" w:cs="宋体"/>
                <w:b/>
                <w:bCs/>
                <w:color w:val="000000"/>
                <w:kern w:val="0"/>
                <w:sz w:val="24"/>
              </w:rPr>
              <w:t>序号</w:t>
            </w:r>
          </w:p>
        </w:tc>
        <w:tc>
          <w:tcPr>
            <w:tcW w:w="3390" w:type="dxa"/>
            <w:noWrap/>
            <w:vAlign w:val="center"/>
          </w:tcPr>
          <w:p w14:paraId="2982F66A">
            <w:pPr>
              <w:widowControl/>
              <w:adjustRightInd w:val="0"/>
              <w:snapToGrid w:val="0"/>
              <w:spacing w:line="360" w:lineRule="auto"/>
              <w:jc w:val="center"/>
              <w:rPr>
                <w:rFonts w:ascii="宋体" w:hAnsi="宋体" w:eastAsia="宋体" w:cs="宋体"/>
                <w:b/>
                <w:bCs/>
                <w:color w:val="000000"/>
                <w:kern w:val="0"/>
                <w:sz w:val="24"/>
              </w:rPr>
            </w:pPr>
            <w:r>
              <w:rPr>
                <w:rFonts w:hint="eastAsia" w:ascii="宋体" w:hAnsi="宋体" w:eastAsia="宋体" w:cs="宋体"/>
                <w:b/>
                <w:bCs/>
                <w:color w:val="000000"/>
                <w:kern w:val="0"/>
                <w:sz w:val="24"/>
              </w:rPr>
              <w:t>维保项目（内容）</w:t>
            </w:r>
          </w:p>
        </w:tc>
        <w:tc>
          <w:tcPr>
            <w:tcW w:w="4959" w:type="dxa"/>
            <w:noWrap/>
            <w:vAlign w:val="center"/>
          </w:tcPr>
          <w:p w14:paraId="6C22E447">
            <w:pPr>
              <w:widowControl/>
              <w:adjustRightInd w:val="0"/>
              <w:snapToGrid w:val="0"/>
              <w:spacing w:line="360" w:lineRule="auto"/>
              <w:jc w:val="center"/>
              <w:rPr>
                <w:rFonts w:ascii="宋体" w:hAnsi="宋体" w:eastAsia="宋体" w:cs="宋体"/>
                <w:b/>
                <w:bCs/>
                <w:color w:val="000000"/>
                <w:kern w:val="0"/>
                <w:sz w:val="24"/>
              </w:rPr>
            </w:pPr>
            <w:r>
              <w:rPr>
                <w:rFonts w:hint="eastAsia" w:ascii="宋体" w:hAnsi="宋体" w:eastAsia="宋体" w:cs="宋体"/>
                <w:b/>
                <w:bCs/>
                <w:color w:val="000000"/>
                <w:kern w:val="0"/>
                <w:sz w:val="24"/>
              </w:rPr>
              <w:t>维保基本要求</w:t>
            </w:r>
          </w:p>
        </w:tc>
      </w:tr>
      <w:tr w14:paraId="773BEA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745" w:type="dxa"/>
            <w:noWrap/>
            <w:vAlign w:val="center"/>
          </w:tcPr>
          <w:p w14:paraId="6F2009B9">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1</w:t>
            </w:r>
          </w:p>
        </w:tc>
        <w:tc>
          <w:tcPr>
            <w:tcW w:w="3390" w:type="dxa"/>
            <w:noWrap/>
            <w:vAlign w:val="center"/>
          </w:tcPr>
          <w:p w14:paraId="31DCC578">
            <w:pPr>
              <w:widowControl/>
              <w:adjustRightInd w:val="0"/>
              <w:snapToGrid w:val="0"/>
              <w:spacing w:line="360" w:lineRule="auto"/>
              <w:rPr>
                <w:rFonts w:ascii="宋体" w:hAnsi="宋体" w:eastAsia="宋体" w:cs="宋体"/>
                <w:color w:val="000000"/>
                <w:kern w:val="0"/>
                <w:sz w:val="24"/>
              </w:rPr>
            </w:pPr>
            <w:r>
              <w:rPr>
                <w:rFonts w:hint="eastAsia" w:ascii="宋体" w:hAnsi="宋体" w:eastAsia="宋体" w:cs="宋体"/>
                <w:color w:val="000000"/>
                <w:kern w:val="0"/>
                <w:sz w:val="24"/>
              </w:rPr>
              <w:t>减速机润滑油</w:t>
            </w:r>
          </w:p>
        </w:tc>
        <w:tc>
          <w:tcPr>
            <w:tcW w:w="4959" w:type="dxa"/>
            <w:noWrap/>
            <w:vAlign w:val="center"/>
          </w:tcPr>
          <w:p w14:paraId="05BFB2CE">
            <w:pPr>
              <w:widowControl/>
              <w:adjustRightInd w:val="0"/>
              <w:snapToGrid w:val="0"/>
              <w:spacing w:line="360" w:lineRule="auto"/>
              <w:rPr>
                <w:rFonts w:ascii="宋体" w:hAnsi="宋体" w:eastAsia="宋体" w:cs="宋体"/>
                <w:color w:val="000000"/>
                <w:kern w:val="0"/>
                <w:sz w:val="24"/>
              </w:rPr>
            </w:pPr>
            <w:r>
              <w:rPr>
                <w:rFonts w:hint="eastAsia" w:ascii="宋体" w:hAnsi="宋体" w:eastAsia="宋体" w:cs="宋体"/>
                <w:color w:val="000000"/>
                <w:kern w:val="0"/>
                <w:sz w:val="24"/>
              </w:rPr>
              <w:t>按照制造单位要求适时更换，保证油质符合要求</w:t>
            </w:r>
          </w:p>
        </w:tc>
      </w:tr>
      <w:tr w14:paraId="74C45C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5" w:hRule="atLeast"/>
        </w:trPr>
        <w:tc>
          <w:tcPr>
            <w:tcW w:w="745" w:type="dxa"/>
            <w:noWrap/>
            <w:vAlign w:val="center"/>
          </w:tcPr>
          <w:p w14:paraId="0AF97AEC">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2</w:t>
            </w:r>
          </w:p>
        </w:tc>
        <w:tc>
          <w:tcPr>
            <w:tcW w:w="3390" w:type="dxa"/>
            <w:noWrap/>
            <w:vAlign w:val="center"/>
          </w:tcPr>
          <w:p w14:paraId="614B2AC0">
            <w:pPr>
              <w:widowControl/>
              <w:adjustRightInd w:val="0"/>
              <w:snapToGrid w:val="0"/>
              <w:spacing w:line="360" w:lineRule="auto"/>
              <w:rPr>
                <w:rFonts w:ascii="宋体" w:hAnsi="宋体" w:eastAsia="宋体" w:cs="宋体"/>
                <w:color w:val="000000"/>
                <w:kern w:val="0"/>
                <w:sz w:val="24"/>
              </w:rPr>
            </w:pPr>
            <w:r>
              <w:rPr>
                <w:rFonts w:hint="eastAsia" w:ascii="宋体" w:hAnsi="宋体" w:eastAsia="宋体" w:cs="宋体"/>
                <w:color w:val="000000"/>
                <w:kern w:val="0"/>
                <w:sz w:val="24"/>
              </w:rPr>
              <w:t>控制柜接触器，继电器触点</w:t>
            </w:r>
          </w:p>
        </w:tc>
        <w:tc>
          <w:tcPr>
            <w:tcW w:w="4959" w:type="dxa"/>
            <w:noWrap/>
            <w:vAlign w:val="center"/>
          </w:tcPr>
          <w:p w14:paraId="6AFEC9EE">
            <w:pPr>
              <w:widowControl/>
              <w:adjustRightInd w:val="0"/>
              <w:snapToGrid w:val="0"/>
              <w:spacing w:line="360" w:lineRule="auto"/>
              <w:rPr>
                <w:rFonts w:ascii="宋体" w:hAnsi="宋体" w:eastAsia="宋体" w:cs="宋体"/>
                <w:color w:val="000000"/>
                <w:kern w:val="0"/>
                <w:sz w:val="24"/>
              </w:rPr>
            </w:pPr>
            <w:r>
              <w:rPr>
                <w:rFonts w:hint="eastAsia" w:ascii="宋体" w:hAnsi="宋体" w:eastAsia="宋体" w:cs="宋体"/>
                <w:color w:val="000000"/>
                <w:kern w:val="0"/>
                <w:sz w:val="24"/>
              </w:rPr>
              <w:t>接触良好</w:t>
            </w:r>
          </w:p>
        </w:tc>
      </w:tr>
      <w:tr w14:paraId="21C3BD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745" w:type="dxa"/>
            <w:noWrap/>
            <w:vAlign w:val="center"/>
          </w:tcPr>
          <w:p w14:paraId="0624FC4B">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3</w:t>
            </w:r>
          </w:p>
        </w:tc>
        <w:tc>
          <w:tcPr>
            <w:tcW w:w="3390" w:type="dxa"/>
            <w:noWrap/>
            <w:vAlign w:val="center"/>
          </w:tcPr>
          <w:p w14:paraId="7B3A6A58">
            <w:pPr>
              <w:widowControl/>
              <w:adjustRightInd w:val="0"/>
              <w:snapToGrid w:val="0"/>
              <w:spacing w:line="360" w:lineRule="auto"/>
              <w:rPr>
                <w:rFonts w:ascii="宋体" w:hAnsi="宋体" w:eastAsia="宋体" w:cs="宋体"/>
                <w:color w:val="000000"/>
                <w:kern w:val="0"/>
                <w:sz w:val="24"/>
              </w:rPr>
            </w:pPr>
            <w:r>
              <w:rPr>
                <w:rFonts w:hint="eastAsia" w:ascii="宋体" w:hAnsi="宋体" w:eastAsia="宋体" w:cs="宋体"/>
                <w:color w:val="000000"/>
                <w:kern w:val="0"/>
                <w:sz w:val="24"/>
              </w:rPr>
              <w:t>制动器铁芯（柱塞）</w:t>
            </w:r>
          </w:p>
        </w:tc>
        <w:tc>
          <w:tcPr>
            <w:tcW w:w="4959" w:type="dxa"/>
            <w:noWrap/>
            <w:vAlign w:val="center"/>
          </w:tcPr>
          <w:p w14:paraId="71D25B44">
            <w:pPr>
              <w:widowControl/>
              <w:adjustRightInd w:val="0"/>
              <w:snapToGrid w:val="0"/>
              <w:spacing w:line="360" w:lineRule="auto"/>
              <w:rPr>
                <w:rFonts w:ascii="宋体" w:hAnsi="宋体" w:eastAsia="宋体" w:cs="宋体"/>
                <w:color w:val="000000"/>
                <w:kern w:val="0"/>
                <w:sz w:val="24"/>
              </w:rPr>
            </w:pPr>
            <w:r>
              <w:rPr>
                <w:rFonts w:hint="eastAsia" w:ascii="宋体" w:hAnsi="宋体" w:eastAsia="宋体" w:cs="宋体"/>
                <w:color w:val="000000"/>
                <w:kern w:val="0"/>
                <w:sz w:val="24"/>
              </w:rPr>
              <w:t>进行清洁、润滑、检查，磨损量不超过制造单位要求</w:t>
            </w:r>
          </w:p>
        </w:tc>
      </w:tr>
      <w:tr w14:paraId="66692F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9" w:hRule="atLeast"/>
        </w:trPr>
        <w:tc>
          <w:tcPr>
            <w:tcW w:w="745" w:type="dxa"/>
            <w:noWrap/>
            <w:vAlign w:val="center"/>
          </w:tcPr>
          <w:p w14:paraId="0DE14CC3">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4</w:t>
            </w:r>
          </w:p>
        </w:tc>
        <w:tc>
          <w:tcPr>
            <w:tcW w:w="3390" w:type="dxa"/>
            <w:noWrap/>
            <w:vAlign w:val="center"/>
          </w:tcPr>
          <w:p w14:paraId="7D1BC6D5">
            <w:pPr>
              <w:widowControl/>
              <w:adjustRightInd w:val="0"/>
              <w:snapToGrid w:val="0"/>
              <w:spacing w:line="360" w:lineRule="auto"/>
              <w:rPr>
                <w:rFonts w:ascii="宋体" w:hAnsi="宋体" w:eastAsia="宋体" w:cs="宋体"/>
                <w:color w:val="000000"/>
                <w:kern w:val="0"/>
                <w:sz w:val="24"/>
              </w:rPr>
            </w:pPr>
            <w:r>
              <w:rPr>
                <w:rFonts w:hint="eastAsia" w:ascii="宋体" w:hAnsi="宋体" w:eastAsia="宋体" w:cs="宋体"/>
                <w:color w:val="000000"/>
                <w:kern w:val="0"/>
                <w:sz w:val="24"/>
              </w:rPr>
              <w:t>制动器制动弹簧压缩量</w:t>
            </w:r>
          </w:p>
        </w:tc>
        <w:tc>
          <w:tcPr>
            <w:tcW w:w="4959" w:type="dxa"/>
            <w:noWrap/>
            <w:vAlign w:val="center"/>
          </w:tcPr>
          <w:p w14:paraId="19755472">
            <w:pPr>
              <w:widowControl/>
              <w:adjustRightInd w:val="0"/>
              <w:snapToGrid w:val="0"/>
              <w:spacing w:line="360" w:lineRule="auto"/>
              <w:rPr>
                <w:rFonts w:ascii="宋体" w:hAnsi="宋体" w:eastAsia="宋体" w:cs="宋体"/>
                <w:color w:val="000000"/>
                <w:kern w:val="0"/>
                <w:sz w:val="24"/>
              </w:rPr>
            </w:pPr>
            <w:r>
              <w:rPr>
                <w:rFonts w:hint="eastAsia" w:ascii="宋体" w:hAnsi="宋体" w:eastAsia="宋体" w:cs="宋体"/>
                <w:color w:val="000000"/>
                <w:kern w:val="0"/>
                <w:sz w:val="24"/>
              </w:rPr>
              <w:t>符合制造单位要求，保持有足够的制动力</w:t>
            </w:r>
          </w:p>
        </w:tc>
      </w:tr>
      <w:tr w14:paraId="49DE52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5" w:hRule="atLeast"/>
        </w:trPr>
        <w:tc>
          <w:tcPr>
            <w:tcW w:w="745" w:type="dxa"/>
            <w:noWrap/>
            <w:vAlign w:val="center"/>
          </w:tcPr>
          <w:p w14:paraId="40259623">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5</w:t>
            </w:r>
          </w:p>
        </w:tc>
        <w:tc>
          <w:tcPr>
            <w:tcW w:w="3390" w:type="dxa"/>
            <w:noWrap/>
            <w:vAlign w:val="center"/>
          </w:tcPr>
          <w:p w14:paraId="6EC849DE">
            <w:pPr>
              <w:widowControl/>
              <w:adjustRightInd w:val="0"/>
              <w:snapToGrid w:val="0"/>
              <w:spacing w:line="360" w:lineRule="auto"/>
              <w:rPr>
                <w:rFonts w:ascii="宋体" w:hAnsi="宋体" w:eastAsia="宋体" w:cs="宋体"/>
                <w:color w:val="000000"/>
                <w:kern w:val="0"/>
                <w:sz w:val="24"/>
              </w:rPr>
            </w:pPr>
            <w:r>
              <w:rPr>
                <w:rFonts w:hint="eastAsia" w:ascii="宋体" w:hAnsi="宋体" w:eastAsia="宋体" w:cs="宋体"/>
                <w:color w:val="000000"/>
                <w:kern w:val="0"/>
                <w:sz w:val="24"/>
              </w:rPr>
              <w:t>导电回路绝缘性能测试</w:t>
            </w:r>
          </w:p>
        </w:tc>
        <w:tc>
          <w:tcPr>
            <w:tcW w:w="4959" w:type="dxa"/>
            <w:noWrap/>
            <w:vAlign w:val="center"/>
          </w:tcPr>
          <w:p w14:paraId="75C217F8">
            <w:pPr>
              <w:widowControl/>
              <w:adjustRightInd w:val="0"/>
              <w:snapToGrid w:val="0"/>
              <w:spacing w:line="360" w:lineRule="auto"/>
              <w:rPr>
                <w:rFonts w:ascii="宋体" w:hAnsi="宋体" w:eastAsia="宋体" w:cs="宋体"/>
                <w:color w:val="000000"/>
                <w:kern w:val="0"/>
                <w:sz w:val="24"/>
              </w:rPr>
            </w:pPr>
            <w:r>
              <w:rPr>
                <w:rFonts w:hint="eastAsia" w:ascii="宋体" w:hAnsi="宋体" w:eastAsia="宋体" w:cs="宋体"/>
                <w:color w:val="000000"/>
                <w:kern w:val="0"/>
                <w:sz w:val="24"/>
              </w:rPr>
              <w:t>符合标准</w:t>
            </w:r>
          </w:p>
        </w:tc>
      </w:tr>
      <w:tr w14:paraId="67DA56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5" w:hRule="atLeast"/>
        </w:trPr>
        <w:tc>
          <w:tcPr>
            <w:tcW w:w="745" w:type="dxa"/>
            <w:noWrap/>
            <w:vAlign w:val="center"/>
          </w:tcPr>
          <w:p w14:paraId="17F50B9B">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6</w:t>
            </w:r>
          </w:p>
        </w:tc>
        <w:tc>
          <w:tcPr>
            <w:tcW w:w="3390" w:type="dxa"/>
            <w:noWrap/>
            <w:vAlign w:val="center"/>
          </w:tcPr>
          <w:p w14:paraId="7853D0A7">
            <w:pPr>
              <w:widowControl/>
              <w:adjustRightInd w:val="0"/>
              <w:snapToGrid w:val="0"/>
              <w:spacing w:line="360" w:lineRule="auto"/>
              <w:rPr>
                <w:rFonts w:ascii="宋体" w:hAnsi="宋体" w:eastAsia="宋体" w:cs="宋体"/>
                <w:color w:val="000000"/>
                <w:kern w:val="0"/>
                <w:sz w:val="24"/>
              </w:rPr>
            </w:pPr>
            <w:r>
              <w:rPr>
                <w:rFonts w:hint="eastAsia" w:ascii="宋体" w:hAnsi="宋体" w:eastAsia="宋体" w:cs="宋体"/>
                <w:color w:val="000000"/>
                <w:kern w:val="0"/>
                <w:sz w:val="24"/>
              </w:rPr>
              <w:t>限速器安全钳联动试验（每2年进行一次限速器动作速度校验）</w:t>
            </w:r>
          </w:p>
        </w:tc>
        <w:tc>
          <w:tcPr>
            <w:tcW w:w="4959" w:type="dxa"/>
            <w:noWrap/>
            <w:vAlign w:val="center"/>
          </w:tcPr>
          <w:p w14:paraId="7F085621">
            <w:pPr>
              <w:widowControl/>
              <w:adjustRightInd w:val="0"/>
              <w:snapToGrid w:val="0"/>
              <w:spacing w:line="360" w:lineRule="auto"/>
              <w:rPr>
                <w:rFonts w:ascii="宋体" w:hAnsi="宋体" w:eastAsia="宋体" w:cs="宋体"/>
                <w:color w:val="000000"/>
                <w:kern w:val="0"/>
                <w:sz w:val="24"/>
              </w:rPr>
            </w:pPr>
            <w:r>
              <w:rPr>
                <w:rFonts w:hint="eastAsia" w:ascii="宋体" w:hAnsi="宋体" w:eastAsia="宋体" w:cs="宋体"/>
                <w:color w:val="000000"/>
                <w:kern w:val="0"/>
                <w:sz w:val="24"/>
              </w:rPr>
              <w:t>工作正常</w:t>
            </w:r>
          </w:p>
        </w:tc>
      </w:tr>
      <w:tr w14:paraId="07D0B0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5" w:hRule="atLeast"/>
        </w:trPr>
        <w:tc>
          <w:tcPr>
            <w:tcW w:w="745" w:type="dxa"/>
            <w:noWrap/>
            <w:vAlign w:val="center"/>
          </w:tcPr>
          <w:p w14:paraId="4CDD5BD2">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7</w:t>
            </w:r>
          </w:p>
        </w:tc>
        <w:tc>
          <w:tcPr>
            <w:tcW w:w="3390" w:type="dxa"/>
            <w:noWrap/>
            <w:vAlign w:val="center"/>
          </w:tcPr>
          <w:p w14:paraId="2D54A178">
            <w:pPr>
              <w:widowControl/>
              <w:adjustRightInd w:val="0"/>
              <w:snapToGrid w:val="0"/>
              <w:spacing w:line="360" w:lineRule="auto"/>
              <w:rPr>
                <w:rFonts w:ascii="宋体" w:hAnsi="宋体" w:eastAsia="宋体" w:cs="宋体"/>
                <w:color w:val="000000"/>
                <w:kern w:val="0"/>
                <w:sz w:val="24"/>
              </w:rPr>
            </w:pPr>
            <w:r>
              <w:rPr>
                <w:rFonts w:hint="eastAsia" w:ascii="宋体" w:hAnsi="宋体" w:eastAsia="宋体" w:cs="宋体"/>
                <w:color w:val="000000"/>
                <w:kern w:val="0"/>
                <w:sz w:val="24"/>
              </w:rPr>
              <w:t>上行超速保护装置动作试验</w:t>
            </w:r>
          </w:p>
        </w:tc>
        <w:tc>
          <w:tcPr>
            <w:tcW w:w="4959" w:type="dxa"/>
            <w:noWrap/>
            <w:vAlign w:val="center"/>
          </w:tcPr>
          <w:p w14:paraId="5DCF6041">
            <w:pPr>
              <w:widowControl/>
              <w:adjustRightInd w:val="0"/>
              <w:snapToGrid w:val="0"/>
              <w:spacing w:line="360" w:lineRule="auto"/>
              <w:rPr>
                <w:rFonts w:ascii="宋体" w:hAnsi="宋体" w:eastAsia="宋体" w:cs="宋体"/>
                <w:color w:val="000000"/>
                <w:kern w:val="0"/>
                <w:sz w:val="24"/>
              </w:rPr>
            </w:pPr>
            <w:r>
              <w:rPr>
                <w:rFonts w:hint="eastAsia" w:ascii="宋体" w:hAnsi="宋体" w:eastAsia="宋体" w:cs="宋体"/>
                <w:color w:val="000000"/>
                <w:kern w:val="0"/>
                <w:sz w:val="24"/>
              </w:rPr>
              <w:t>工作正常</w:t>
            </w:r>
          </w:p>
        </w:tc>
      </w:tr>
      <w:tr w14:paraId="23669B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5" w:hRule="atLeast"/>
        </w:trPr>
        <w:tc>
          <w:tcPr>
            <w:tcW w:w="745" w:type="dxa"/>
            <w:noWrap/>
            <w:vAlign w:val="center"/>
          </w:tcPr>
          <w:p w14:paraId="7BE4E845">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8</w:t>
            </w:r>
          </w:p>
        </w:tc>
        <w:tc>
          <w:tcPr>
            <w:tcW w:w="3390" w:type="dxa"/>
            <w:noWrap/>
            <w:vAlign w:val="center"/>
          </w:tcPr>
          <w:p w14:paraId="01B1A975">
            <w:pPr>
              <w:widowControl/>
              <w:adjustRightInd w:val="0"/>
              <w:snapToGrid w:val="0"/>
              <w:spacing w:line="360" w:lineRule="auto"/>
              <w:rPr>
                <w:rFonts w:ascii="宋体" w:hAnsi="宋体" w:eastAsia="宋体" w:cs="宋体"/>
                <w:color w:val="000000"/>
                <w:kern w:val="0"/>
                <w:sz w:val="24"/>
              </w:rPr>
            </w:pPr>
            <w:r>
              <w:rPr>
                <w:rFonts w:hint="eastAsia" w:ascii="宋体" w:hAnsi="宋体" w:eastAsia="宋体" w:cs="宋体"/>
                <w:color w:val="000000"/>
                <w:kern w:val="0"/>
                <w:sz w:val="24"/>
              </w:rPr>
              <w:t>轿顶、轿厢架、轿门及期附件安装螺栓</w:t>
            </w:r>
          </w:p>
        </w:tc>
        <w:tc>
          <w:tcPr>
            <w:tcW w:w="4959" w:type="dxa"/>
            <w:noWrap/>
            <w:vAlign w:val="center"/>
          </w:tcPr>
          <w:p w14:paraId="63D0A2E0">
            <w:pPr>
              <w:widowControl/>
              <w:adjustRightInd w:val="0"/>
              <w:snapToGrid w:val="0"/>
              <w:spacing w:line="360" w:lineRule="auto"/>
              <w:rPr>
                <w:rFonts w:ascii="宋体" w:hAnsi="宋体" w:eastAsia="宋体" w:cs="宋体"/>
                <w:color w:val="000000"/>
                <w:kern w:val="0"/>
                <w:sz w:val="24"/>
              </w:rPr>
            </w:pPr>
            <w:r>
              <w:rPr>
                <w:rFonts w:hint="eastAsia" w:ascii="宋体" w:hAnsi="宋体" w:eastAsia="宋体" w:cs="宋体"/>
                <w:color w:val="000000"/>
                <w:kern w:val="0"/>
                <w:sz w:val="24"/>
              </w:rPr>
              <w:t>紧固</w:t>
            </w:r>
          </w:p>
        </w:tc>
      </w:tr>
      <w:tr w14:paraId="341D60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5" w:hRule="atLeast"/>
        </w:trPr>
        <w:tc>
          <w:tcPr>
            <w:tcW w:w="745" w:type="dxa"/>
            <w:noWrap/>
            <w:vAlign w:val="center"/>
          </w:tcPr>
          <w:p w14:paraId="48B0B305">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9</w:t>
            </w:r>
          </w:p>
        </w:tc>
        <w:tc>
          <w:tcPr>
            <w:tcW w:w="3390" w:type="dxa"/>
            <w:noWrap/>
            <w:vAlign w:val="center"/>
          </w:tcPr>
          <w:p w14:paraId="326D5FAE">
            <w:pPr>
              <w:widowControl/>
              <w:adjustRightInd w:val="0"/>
              <w:snapToGrid w:val="0"/>
              <w:spacing w:line="360" w:lineRule="auto"/>
              <w:rPr>
                <w:rFonts w:ascii="宋体" w:hAnsi="宋体" w:eastAsia="宋体" w:cs="宋体"/>
                <w:color w:val="000000"/>
                <w:kern w:val="0"/>
                <w:sz w:val="24"/>
              </w:rPr>
            </w:pPr>
            <w:r>
              <w:rPr>
                <w:rFonts w:hint="eastAsia" w:ascii="宋体" w:hAnsi="宋体" w:eastAsia="宋体" w:cs="宋体"/>
                <w:color w:val="000000"/>
                <w:kern w:val="0"/>
                <w:sz w:val="24"/>
              </w:rPr>
              <w:t>轿厢和对重的导轨支架</w:t>
            </w:r>
          </w:p>
        </w:tc>
        <w:tc>
          <w:tcPr>
            <w:tcW w:w="4959" w:type="dxa"/>
            <w:noWrap/>
            <w:vAlign w:val="center"/>
          </w:tcPr>
          <w:p w14:paraId="386D6089">
            <w:pPr>
              <w:widowControl/>
              <w:adjustRightInd w:val="0"/>
              <w:snapToGrid w:val="0"/>
              <w:spacing w:line="360" w:lineRule="auto"/>
              <w:rPr>
                <w:rFonts w:ascii="宋体" w:hAnsi="宋体" w:eastAsia="宋体" w:cs="宋体"/>
                <w:color w:val="000000"/>
                <w:kern w:val="0"/>
                <w:sz w:val="24"/>
              </w:rPr>
            </w:pPr>
            <w:r>
              <w:rPr>
                <w:rFonts w:hint="eastAsia" w:ascii="宋体" w:hAnsi="宋体" w:eastAsia="宋体" w:cs="宋体"/>
                <w:color w:val="000000"/>
                <w:kern w:val="0"/>
                <w:sz w:val="24"/>
              </w:rPr>
              <w:t>固定，无松动</w:t>
            </w:r>
          </w:p>
        </w:tc>
      </w:tr>
      <w:tr w14:paraId="4C282E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5" w:hRule="atLeast"/>
        </w:trPr>
        <w:tc>
          <w:tcPr>
            <w:tcW w:w="745" w:type="dxa"/>
            <w:noWrap/>
            <w:vAlign w:val="center"/>
          </w:tcPr>
          <w:p w14:paraId="6D2D1472">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10</w:t>
            </w:r>
          </w:p>
        </w:tc>
        <w:tc>
          <w:tcPr>
            <w:tcW w:w="3390" w:type="dxa"/>
            <w:noWrap/>
            <w:vAlign w:val="center"/>
          </w:tcPr>
          <w:p w14:paraId="1365B5F6">
            <w:pPr>
              <w:widowControl/>
              <w:adjustRightInd w:val="0"/>
              <w:snapToGrid w:val="0"/>
              <w:spacing w:line="360" w:lineRule="auto"/>
              <w:rPr>
                <w:rFonts w:ascii="宋体" w:hAnsi="宋体" w:eastAsia="宋体" w:cs="宋体"/>
                <w:color w:val="000000"/>
                <w:kern w:val="0"/>
                <w:sz w:val="24"/>
              </w:rPr>
            </w:pPr>
            <w:r>
              <w:rPr>
                <w:rFonts w:hint="eastAsia" w:ascii="宋体" w:hAnsi="宋体" w:eastAsia="宋体" w:cs="宋体"/>
                <w:color w:val="000000"/>
                <w:kern w:val="0"/>
                <w:sz w:val="24"/>
              </w:rPr>
              <w:t>轿厢和对重的导轨</w:t>
            </w:r>
          </w:p>
        </w:tc>
        <w:tc>
          <w:tcPr>
            <w:tcW w:w="4959" w:type="dxa"/>
            <w:noWrap/>
            <w:vAlign w:val="center"/>
          </w:tcPr>
          <w:p w14:paraId="6BFE0E7A">
            <w:pPr>
              <w:widowControl/>
              <w:adjustRightInd w:val="0"/>
              <w:snapToGrid w:val="0"/>
              <w:spacing w:line="360" w:lineRule="auto"/>
              <w:rPr>
                <w:rFonts w:ascii="宋体" w:hAnsi="宋体" w:eastAsia="宋体" w:cs="宋体"/>
                <w:color w:val="000000"/>
                <w:kern w:val="0"/>
                <w:sz w:val="24"/>
              </w:rPr>
            </w:pPr>
            <w:r>
              <w:rPr>
                <w:rFonts w:hint="eastAsia" w:ascii="宋体" w:hAnsi="宋体" w:eastAsia="宋体" w:cs="宋体"/>
                <w:color w:val="000000"/>
                <w:kern w:val="0"/>
                <w:sz w:val="24"/>
              </w:rPr>
              <w:t>清洁，压板牢固</w:t>
            </w:r>
          </w:p>
        </w:tc>
      </w:tr>
      <w:tr w14:paraId="0E59FA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5" w:hRule="atLeast"/>
        </w:trPr>
        <w:tc>
          <w:tcPr>
            <w:tcW w:w="745" w:type="dxa"/>
            <w:noWrap/>
            <w:vAlign w:val="center"/>
          </w:tcPr>
          <w:p w14:paraId="551B3EBA">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11</w:t>
            </w:r>
          </w:p>
        </w:tc>
        <w:tc>
          <w:tcPr>
            <w:tcW w:w="3390" w:type="dxa"/>
            <w:noWrap/>
            <w:vAlign w:val="center"/>
          </w:tcPr>
          <w:p w14:paraId="17D5C7C0">
            <w:pPr>
              <w:widowControl/>
              <w:adjustRightInd w:val="0"/>
              <w:snapToGrid w:val="0"/>
              <w:spacing w:line="360" w:lineRule="auto"/>
              <w:rPr>
                <w:rFonts w:ascii="宋体" w:hAnsi="宋体" w:eastAsia="宋体" w:cs="宋体"/>
                <w:color w:val="000000"/>
                <w:kern w:val="0"/>
                <w:sz w:val="24"/>
              </w:rPr>
            </w:pPr>
            <w:r>
              <w:rPr>
                <w:rFonts w:hint="eastAsia" w:ascii="宋体" w:hAnsi="宋体" w:eastAsia="宋体" w:cs="宋体"/>
                <w:color w:val="000000"/>
                <w:kern w:val="0"/>
                <w:sz w:val="24"/>
              </w:rPr>
              <w:t>随行电缆</w:t>
            </w:r>
          </w:p>
        </w:tc>
        <w:tc>
          <w:tcPr>
            <w:tcW w:w="4959" w:type="dxa"/>
            <w:noWrap/>
            <w:vAlign w:val="center"/>
          </w:tcPr>
          <w:p w14:paraId="0FFA7093">
            <w:pPr>
              <w:widowControl/>
              <w:adjustRightInd w:val="0"/>
              <w:snapToGrid w:val="0"/>
              <w:spacing w:line="360" w:lineRule="auto"/>
              <w:rPr>
                <w:rFonts w:ascii="宋体" w:hAnsi="宋体" w:eastAsia="宋体" w:cs="宋体"/>
                <w:color w:val="000000"/>
                <w:kern w:val="0"/>
                <w:sz w:val="24"/>
              </w:rPr>
            </w:pPr>
            <w:r>
              <w:rPr>
                <w:rFonts w:hint="eastAsia" w:ascii="宋体" w:hAnsi="宋体" w:eastAsia="宋体" w:cs="宋体"/>
                <w:color w:val="000000"/>
                <w:kern w:val="0"/>
                <w:sz w:val="24"/>
              </w:rPr>
              <w:t>无损伤</w:t>
            </w:r>
          </w:p>
        </w:tc>
      </w:tr>
      <w:tr w14:paraId="3A9ABA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5" w:hRule="atLeast"/>
        </w:trPr>
        <w:tc>
          <w:tcPr>
            <w:tcW w:w="745" w:type="dxa"/>
            <w:noWrap/>
            <w:vAlign w:val="center"/>
          </w:tcPr>
          <w:p w14:paraId="48818B05">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12</w:t>
            </w:r>
          </w:p>
        </w:tc>
        <w:tc>
          <w:tcPr>
            <w:tcW w:w="3390" w:type="dxa"/>
            <w:noWrap/>
            <w:vAlign w:val="center"/>
          </w:tcPr>
          <w:p w14:paraId="56FE1141">
            <w:pPr>
              <w:widowControl/>
              <w:adjustRightInd w:val="0"/>
              <w:snapToGrid w:val="0"/>
              <w:spacing w:line="360" w:lineRule="auto"/>
              <w:rPr>
                <w:rFonts w:ascii="宋体" w:hAnsi="宋体" w:eastAsia="宋体" w:cs="宋体"/>
                <w:color w:val="000000"/>
                <w:kern w:val="0"/>
                <w:sz w:val="24"/>
              </w:rPr>
            </w:pPr>
            <w:r>
              <w:rPr>
                <w:rFonts w:hint="eastAsia" w:ascii="宋体" w:hAnsi="宋体" w:eastAsia="宋体" w:cs="宋体"/>
                <w:color w:val="000000"/>
                <w:kern w:val="0"/>
                <w:sz w:val="24"/>
              </w:rPr>
              <w:t>层门装置和地坎</w:t>
            </w:r>
          </w:p>
        </w:tc>
        <w:tc>
          <w:tcPr>
            <w:tcW w:w="4959" w:type="dxa"/>
            <w:noWrap/>
            <w:vAlign w:val="center"/>
          </w:tcPr>
          <w:p w14:paraId="712DDE43">
            <w:pPr>
              <w:widowControl/>
              <w:adjustRightInd w:val="0"/>
              <w:snapToGrid w:val="0"/>
              <w:spacing w:line="360" w:lineRule="auto"/>
              <w:rPr>
                <w:rFonts w:ascii="宋体" w:hAnsi="宋体" w:eastAsia="宋体" w:cs="宋体"/>
                <w:color w:val="000000"/>
                <w:kern w:val="0"/>
                <w:sz w:val="24"/>
              </w:rPr>
            </w:pPr>
            <w:r>
              <w:rPr>
                <w:rFonts w:hint="eastAsia" w:ascii="宋体" w:hAnsi="宋体" w:eastAsia="宋体" w:cs="宋体"/>
                <w:color w:val="000000"/>
                <w:kern w:val="0"/>
                <w:sz w:val="24"/>
              </w:rPr>
              <w:t>无影响正常使用的变形，各安装螺栓紧固</w:t>
            </w:r>
          </w:p>
        </w:tc>
      </w:tr>
      <w:tr w14:paraId="577EAF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5" w:hRule="atLeast"/>
        </w:trPr>
        <w:tc>
          <w:tcPr>
            <w:tcW w:w="745" w:type="dxa"/>
            <w:noWrap/>
            <w:vAlign w:val="center"/>
          </w:tcPr>
          <w:p w14:paraId="000E638D">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13</w:t>
            </w:r>
          </w:p>
        </w:tc>
        <w:tc>
          <w:tcPr>
            <w:tcW w:w="3390" w:type="dxa"/>
            <w:noWrap/>
            <w:vAlign w:val="center"/>
          </w:tcPr>
          <w:p w14:paraId="02E0A03D">
            <w:pPr>
              <w:widowControl/>
              <w:adjustRightInd w:val="0"/>
              <w:snapToGrid w:val="0"/>
              <w:spacing w:line="360" w:lineRule="auto"/>
              <w:rPr>
                <w:rFonts w:ascii="宋体" w:hAnsi="宋体" w:eastAsia="宋体" w:cs="宋体"/>
                <w:color w:val="000000"/>
                <w:kern w:val="0"/>
                <w:sz w:val="24"/>
              </w:rPr>
            </w:pPr>
            <w:r>
              <w:rPr>
                <w:rFonts w:hint="eastAsia" w:ascii="宋体" w:hAnsi="宋体" w:eastAsia="宋体" w:cs="宋体"/>
                <w:color w:val="000000"/>
                <w:kern w:val="0"/>
                <w:sz w:val="24"/>
              </w:rPr>
              <w:t>轿厢称重装置</w:t>
            </w:r>
          </w:p>
        </w:tc>
        <w:tc>
          <w:tcPr>
            <w:tcW w:w="4959" w:type="dxa"/>
            <w:noWrap/>
            <w:vAlign w:val="center"/>
          </w:tcPr>
          <w:p w14:paraId="3C7201FF">
            <w:pPr>
              <w:widowControl/>
              <w:adjustRightInd w:val="0"/>
              <w:snapToGrid w:val="0"/>
              <w:spacing w:line="360" w:lineRule="auto"/>
              <w:rPr>
                <w:rFonts w:ascii="宋体" w:hAnsi="宋体" w:eastAsia="宋体" w:cs="宋体"/>
                <w:color w:val="000000"/>
                <w:kern w:val="0"/>
                <w:sz w:val="24"/>
              </w:rPr>
            </w:pPr>
            <w:r>
              <w:rPr>
                <w:rFonts w:hint="eastAsia" w:ascii="宋体" w:hAnsi="宋体" w:eastAsia="宋体" w:cs="宋体"/>
                <w:color w:val="000000"/>
                <w:kern w:val="0"/>
                <w:sz w:val="24"/>
              </w:rPr>
              <w:t>准确有效</w:t>
            </w:r>
          </w:p>
        </w:tc>
      </w:tr>
      <w:tr w14:paraId="528EF7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5" w:hRule="atLeast"/>
        </w:trPr>
        <w:tc>
          <w:tcPr>
            <w:tcW w:w="745" w:type="dxa"/>
            <w:noWrap/>
            <w:vAlign w:val="center"/>
          </w:tcPr>
          <w:p w14:paraId="6B08D7C9">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14</w:t>
            </w:r>
          </w:p>
        </w:tc>
        <w:tc>
          <w:tcPr>
            <w:tcW w:w="3390" w:type="dxa"/>
            <w:noWrap/>
            <w:vAlign w:val="center"/>
          </w:tcPr>
          <w:p w14:paraId="689D7E1C">
            <w:pPr>
              <w:widowControl/>
              <w:adjustRightInd w:val="0"/>
              <w:snapToGrid w:val="0"/>
              <w:spacing w:line="360" w:lineRule="auto"/>
              <w:rPr>
                <w:rFonts w:ascii="宋体" w:hAnsi="宋体" w:eastAsia="宋体" w:cs="宋体"/>
                <w:color w:val="000000"/>
                <w:kern w:val="0"/>
                <w:sz w:val="24"/>
              </w:rPr>
            </w:pPr>
            <w:r>
              <w:rPr>
                <w:rFonts w:hint="eastAsia" w:ascii="宋体" w:hAnsi="宋体" w:eastAsia="宋体" w:cs="宋体"/>
                <w:color w:val="000000"/>
                <w:kern w:val="0"/>
                <w:sz w:val="24"/>
              </w:rPr>
              <w:t>安全钳钳座</w:t>
            </w:r>
          </w:p>
        </w:tc>
        <w:tc>
          <w:tcPr>
            <w:tcW w:w="4959" w:type="dxa"/>
            <w:noWrap/>
            <w:vAlign w:val="center"/>
          </w:tcPr>
          <w:p w14:paraId="7DF7B3F0">
            <w:pPr>
              <w:widowControl/>
              <w:adjustRightInd w:val="0"/>
              <w:snapToGrid w:val="0"/>
              <w:spacing w:line="360" w:lineRule="auto"/>
              <w:rPr>
                <w:rFonts w:ascii="宋体" w:hAnsi="宋体" w:eastAsia="宋体" w:cs="宋体"/>
                <w:color w:val="000000"/>
                <w:kern w:val="0"/>
                <w:sz w:val="24"/>
              </w:rPr>
            </w:pPr>
            <w:r>
              <w:rPr>
                <w:rFonts w:hint="eastAsia" w:ascii="宋体" w:hAnsi="宋体" w:eastAsia="宋体" w:cs="宋体"/>
                <w:color w:val="000000"/>
                <w:kern w:val="0"/>
                <w:sz w:val="24"/>
              </w:rPr>
              <w:t>固定，无松动</w:t>
            </w:r>
          </w:p>
        </w:tc>
      </w:tr>
      <w:tr w14:paraId="4702BB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5" w:hRule="atLeast"/>
        </w:trPr>
        <w:tc>
          <w:tcPr>
            <w:tcW w:w="745" w:type="dxa"/>
            <w:noWrap/>
            <w:vAlign w:val="center"/>
          </w:tcPr>
          <w:p w14:paraId="6F9037B5">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15</w:t>
            </w:r>
          </w:p>
        </w:tc>
        <w:tc>
          <w:tcPr>
            <w:tcW w:w="3390" w:type="dxa"/>
            <w:noWrap/>
            <w:vAlign w:val="center"/>
          </w:tcPr>
          <w:p w14:paraId="62434C23">
            <w:pPr>
              <w:widowControl/>
              <w:adjustRightInd w:val="0"/>
              <w:snapToGrid w:val="0"/>
              <w:spacing w:line="360" w:lineRule="auto"/>
              <w:rPr>
                <w:rFonts w:ascii="宋体" w:hAnsi="宋体" w:eastAsia="宋体" w:cs="宋体"/>
                <w:color w:val="000000"/>
                <w:kern w:val="0"/>
                <w:sz w:val="24"/>
              </w:rPr>
            </w:pPr>
            <w:r>
              <w:rPr>
                <w:rFonts w:hint="eastAsia" w:ascii="宋体" w:hAnsi="宋体" w:eastAsia="宋体" w:cs="宋体"/>
                <w:color w:val="000000"/>
                <w:kern w:val="0"/>
                <w:sz w:val="24"/>
              </w:rPr>
              <w:t>轿底各安装螺栓</w:t>
            </w:r>
          </w:p>
        </w:tc>
        <w:tc>
          <w:tcPr>
            <w:tcW w:w="4959" w:type="dxa"/>
            <w:noWrap/>
            <w:vAlign w:val="center"/>
          </w:tcPr>
          <w:p w14:paraId="04AFD634">
            <w:pPr>
              <w:widowControl/>
              <w:adjustRightInd w:val="0"/>
              <w:snapToGrid w:val="0"/>
              <w:spacing w:line="360" w:lineRule="auto"/>
              <w:rPr>
                <w:rFonts w:ascii="宋体" w:hAnsi="宋体" w:eastAsia="宋体" w:cs="宋体"/>
                <w:color w:val="000000"/>
                <w:kern w:val="0"/>
                <w:sz w:val="24"/>
              </w:rPr>
            </w:pPr>
            <w:r>
              <w:rPr>
                <w:rFonts w:hint="eastAsia" w:ascii="宋体" w:hAnsi="宋体" w:eastAsia="宋体" w:cs="宋体"/>
                <w:color w:val="000000"/>
                <w:kern w:val="0"/>
                <w:sz w:val="24"/>
              </w:rPr>
              <w:t>紧固</w:t>
            </w:r>
          </w:p>
        </w:tc>
      </w:tr>
      <w:tr w14:paraId="4975AD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5" w:hRule="atLeast"/>
        </w:trPr>
        <w:tc>
          <w:tcPr>
            <w:tcW w:w="745" w:type="dxa"/>
            <w:noWrap/>
            <w:vAlign w:val="center"/>
          </w:tcPr>
          <w:p w14:paraId="2681279F">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16</w:t>
            </w:r>
          </w:p>
        </w:tc>
        <w:tc>
          <w:tcPr>
            <w:tcW w:w="3390" w:type="dxa"/>
            <w:noWrap/>
            <w:vAlign w:val="center"/>
          </w:tcPr>
          <w:p w14:paraId="6FD14197">
            <w:pPr>
              <w:widowControl/>
              <w:adjustRightInd w:val="0"/>
              <w:snapToGrid w:val="0"/>
              <w:spacing w:line="360" w:lineRule="auto"/>
              <w:rPr>
                <w:rFonts w:ascii="宋体" w:hAnsi="宋体" w:eastAsia="宋体" w:cs="宋体"/>
                <w:color w:val="000000"/>
                <w:kern w:val="0"/>
                <w:sz w:val="24"/>
              </w:rPr>
            </w:pPr>
            <w:r>
              <w:rPr>
                <w:rFonts w:hint="eastAsia" w:ascii="宋体" w:hAnsi="宋体" w:eastAsia="宋体" w:cs="宋体"/>
                <w:color w:val="000000"/>
                <w:kern w:val="0"/>
                <w:sz w:val="24"/>
              </w:rPr>
              <w:t>缓冲器</w:t>
            </w:r>
          </w:p>
        </w:tc>
        <w:tc>
          <w:tcPr>
            <w:tcW w:w="4959" w:type="dxa"/>
            <w:noWrap/>
            <w:vAlign w:val="center"/>
          </w:tcPr>
          <w:p w14:paraId="15BA1808">
            <w:pPr>
              <w:widowControl/>
              <w:adjustRightInd w:val="0"/>
              <w:snapToGrid w:val="0"/>
              <w:spacing w:line="360" w:lineRule="auto"/>
              <w:rPr>
                <w:rFonts w:ascii="宋体" w:hAnsi="宋体" w:eastAsia="宋体" w:cs="宋体"/>
                <w:color w:val="000000"/>
                <w:kern w:val="0"/>
                <w:sz w:val="24"/>
              </w:rPr>
            </w:pPr>
            <w:r>
              <w:rPr>
                <w:rFonts w:hint="eastAsia" w:ascii="宋体" w:hAnsi="宋体" w:eastAsia="宋体" w:cs="宋体"/>
                <w:color w:val="000000"/>
                <w:kern w:val="0"/>
                <w:sz w:val="24"/>
              </w:rPr>
              <w:t>固定，无松动</w:t>
            </w:r>
          </w:p>
        </w:tc>
      </w:tr>
    </w:tbl>
    <w:p w14:paraId="35A1F73A">
      <w:pPr>
        <w:spacing w:line="440" w:lineRule="exact"/>
        <w:ind w:firstLine="480" w:firstLineChars="200"/>
        <w:rPr>
          <w:rFonts w:ascii="宋体" w:hAnsi="宋体" w:eastAsia="宋体" w:cs="宋体"/>
          <w:sz w:val="24"/>
        </w:rPr>
      </w:pPr>
    </w:p>
    <w:p w14:paraId="47994DE7">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6BE682A"/>
    <w:rsid w:val="4CA624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3140</Words>
  <Characters>3222</Characters>
  <Lines>0</Lines>
  <Paragraphs>0</Paragraphs>
  <TotalTime>0</TotalTime>
  <ScaleCrop>false</ScaleCrop>
  <LinksUpToDate>false</LinksUpToDate>
  <CharactersWithSpaces>3400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2025-06-18T05:53:00Z</dcterms:created>
  <dc:creator>A</dc:creator>
  <cp:lastModifiedBy>开瑞</cp:lastModifiedBy>
  <dcterms:modified xsi:type="dcterms:W3CDTF">2025-06-18T08:34:16Z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eyJoZGlkIjoiNWJlY2JiMDE3MzA4NGFmMWNlMTU4MDg4OGY3M2QxZTQiLCJ1c2VySWQiOiIzODU0NDc2MTYifQ==</vt:lpwstr>
  </property>
  <property fmtid="{D5CDD505-2E9C-101B-9397-08002B2CF9AE}" pid="4" name="ICV">
    <vt:lpwstr>2CA2F533CBAB44F28E073FDE94DB7AB2_12</vt:lpwstr>
  </property>
</Properties>
</file>