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版本号：CCZB（2025）ZC-0118-120250618001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陕西省普通干线公路交调站建设施工图设计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CCZB（2025）ZC-0118-1</w:t>
      </w:r>
      <w:r>
        <w:br/>
      </w:r>
      <w:r>
        <w:br/>
      </w:r>
      <w:r>
        <w:br/>
      </w:r>
    </w:p>
    <w:p>
      <w:pPr>
        <w:pStyle w:val="null3"/>
        <w:jc w:val="center"/>
        <w:outlineLvl w:val="2"/>
      </w:pPr>
      <w:r>
        <w:rPr>
          <w:rFonts w:ascii="仿宋_GB2312" w:hAnsi="仿宋_GB2312" w:cs="仿宋_GB2312" w:eastAsia="仿宋_GB2312"/>
          <w:sz w:val="28"/>
          <w:b/>
        </w:rPr>
        <w:t>陕西省公路局</w:t>
      </w:r>
    </w:p>
    <w:p>
      <w:pPr>
        <w:pStyle w:val="null3"/>
        <w:jc w:val="center"/>
        <w:outlineLvl w:val="2"/>
      </w:pPr>
      <w:r>
        <w:rPr>
          <w:rFonts w:ascii="仿宋_GB2312" w:hAnsi="仿宋_GB2312" w:cs="仿宋_GB2312" w:eastAsia="仿宋_GB2312"/>
          <w:sz w:val="28"/>
          <w:b/>
        </w:rPr>
        <w:t>陕西诚采招标有限责任公司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陕西诚采招标有限责任公司</w:t>
      </w:r>
      <w:r>
        <w:rPr>
          <w:rFonts w:ascii="仿宋_GB2312" w:hAnsi="仿宋_GB2312" w:cs="仿宋_GB2312" w:eastAsia="仿宋_GB2312"/>
        </w:rPr>
        <w:t>（以下简称“代理机构”）受</w:t>
      </w:r>
      <w:r>
        <w:rPr>
          <w:rFonts w:ascii="仿宋_GB2312" w:hAnsi="仿宋_GB2312" w:cs="仿宋_GB2312" w:eastAsia="仿宋_GB2312"/>
        </w:rPr>
        <w:t>陕西省公路局</w:t>
      </w:r>
      <w:r>
        <w:rPr>
          <w:rFonts w:ascii="仿宋_GB2312" w:hAnsi="仿宋_GB2312" w:cs="仿宋_GB2312" w:eastAsia="仿宋_GB2312"/>
        </w:rPr>
        <w:t>委托，拟对</w:t>
      </w:r>
      <w:r>
        <w:rPr>
          <w:rFonts w:ascii="仿宋_GB2312" w:hAnsi="仿宋_GB2312" w:cs="仿宋_GB2312" w:eastAsia="仿宋_GB2312"/>
        </w:rPr>
        <w:t>陕西省普通干线公路交调站建设施工图设计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CCZB（2025）ZC-0118-1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陕西省普通干线公路交调站建设施工图设计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陕西省普通干线公路交调站建设施工图设计。详见竞争性磋商文件第三部分磋商要求及说明。</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2、资质证明：供应商须具有行政主管部门颁发的工程设计公路行业（交通工程）专业乙级及以上资质；</w:t>
      </w:r>
    </w:p>
    <w:p>
      <w:pPr>
        <w:pStyle w:val="null3"/>
      </w:pPr>
      <w:r>
        <w:rPr>
          <w:rFonts w:ascii="仿宋_GB2312" w:hAnsi="仿宋_GB2312" w:cs="仿宋_GB2312" w:eastAsia="仿宋_GB2312"/>
        </w:rPr>
        <w:t>3、社会保障资金缴纳证明：投标截止日12个月内任意一月缴纳社会保障资金缴存单据或社保机构开具的社会保险参保缴费情况证明，依法不需要缴纳社会保障资金的单位应提供相关证明材料；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投标截止日12个月内任意一个月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财务状况证明：提供2023年或2024年至投标截止时间止任意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6、违纪失信：参加本次政府采购活动前3年内在经营活动中没有重大违纪，以及未被列入失信被执行人、重大税收违法案件当事人名单、政府采购严重违法失信行为记录名单；</w:t>
      </w:r>
    </w:p>
    <w:p>
      <w:pPr>
        <w:pStyle w:val="null3"/>
      </w:pPr>
      <w:r>
        <w:rPr>
          <w:rFonts w:ascii="仿宋_GB2312" w:hAnsi="仿宋_GB2312" w:cs="仿宋_GB2312" w:eastAsia="仿宋_GB2312"/>
        </w:rPr>
        <w:t>7、具有履行合同所必需的设备和专业技术能力：具备履行合同所必需的设备和专业技术能力的承诺；</w:t>
      </w:r>
    </w:p>
    <w:p>
      <w:pPr>
        <w:pStyle w:val="null3"/>
      </w:pPr>
      <w:r>
        <w:rPr>
          <w:rFonts w:ascii="仿宋_GB2312" w:hAnsi="仿宋_GB2312" w:cs="仿宋_GB2312" w:eastAsia="仿宋_GB2312"/>
        </w:rPr>
        <w:t>8、法定代表人或授权代表委托书：法定代表人直接参加磋商的，须出具法人身份证并与营业执照上信息一致；法定代表人授权代表参加磋商的，须出具法定代表人授权书、授权代表身份证以及被授权人有效的劳动合同或者截止开标前六个月内任意一个月本单位社保缴纳证明；</w:t>
      </w:r>
    </w:p>
    <w:p>
      <w:pPr>
        <w:pStyle w:val="null3"/>
      </w:pPr>
      <w:r>
        <w:rPr>
          <w:rFonts w:ascii="仿宋_GB2312" w:hAnsi="仿宋_GB2312" w:cs="仿宋_GB2312" w:eastAsia="仿宋_GB2312"/>
        </w:rPr>
        <w:t>9、非联合体声明：本项目不接受联合体投标，供应商提供非联合体书面声明；</w:t>
      </w:r>
    </w:p>
    <w:p>
      <w:pPr>
        <w:pStyle w:val="null3"/>
      </w:pPr>
      <w:r>
        <w:rPr>
          <w:rFonts w:ascii="仿宋_GB2312" w:hAnsi="仿宋_GB2312" w:cs="仿宋_GB2312" w:eastAsia="仿宋_GB2312"/>
        </w:rPr>
        <w:t>10、企业关联关系声明：单位负责人为同一人或者存在控股、管理关系的不同单位，不得同时参加本项目的磋商。提供法人代表、控股股东、控股企业及管理、被管理单位情况声明且各供应商之间不存在单位负责人为同一人或者存在控股、管理关系情形（提供声明或相关证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西安市含光北路110号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029-88408450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陕西诚采招标有限责任公司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西安市雁塔区雁翔路与南三环交汇处东北角旺座曲江F座1601室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吴浩强、岳迁迁、郭强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029-81215580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采购包1：746,900.00元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开户名称：陕西诚采招标有限责任公司</w:t>
            </w:r>
          </w:p>
          <w:p>
            <w:pPr>
              <w:pStyle w:val="null3"/>
            </w:pPr>
            <w:r>
              <w:rPr>
                <w:rFonts w:ascii="仿宋_GB2312" w:hAnsi="仿宋_GB2312" w:cs="仿宋_GB2312" w:eastAsia="仿宋_GB2312"/>
              </w:rPr>
              <w:t>开户银行：中国建设银行股份有限公司西安玉祥门支行</w:t>
            </w:r>
          </w:p>
          <w:p>
            <w:pPr>
              <w:pStyle w:val="null3"/>
            </w:pPr>
            <w:r>
              <w:rPr>
                <w:rFonts w:ascii="仿宋_GB2312" w:hAnsi="仿宋_GB2312" w:cs="仿宋_GB2312" w:eastAsia="仿宋_GB2312"/>
              </w:rPr>
              <w:t>银行账号：6105 0174 4000 0000 0461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说明：一、履约保证金的缴纳方式：银行转账。 二、提交时间：领取中标通知书后，合同签订前,按时限缴纳合同总价5%的履约保证金并在规定时间内与采购人联系具体细节，否则视为自动弃标。 三、退还方式：中标人完成本合同约定的全部内容并经采购人验收合格且无任何争议后，采购人通过原缴费账户向中标人无息退还履约保证金全款；若中标人未能按照合同约定履行，则采购人有权全额扣除履约保证金，并保留追究中标人违约相关的法律责任。</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代理服务费收费标准：依据陕西省公路局2025年度部分政府采购项目委托代理合同按中标金额*1.2%收取。 成交供应商在领取成交通知书前，须向采购代理机构支付成交服务费。 公司名称：陕西诚采招标有限责任公司 开户行：招商银行股份有限公司西安未央路支行 账号：1299 0858 6010 806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陕西省公路局</w:t>
      </w:r>
      <w:r>
        <w:rPr>
          <w:rFonts w:ascii="仿宋_GB2312" w:hAnsi="仿宋_GB2312" w:cs="仿宋_GB2312" w:eastAsia="仿宋_GB2312"/>
        </w:rPr>
        <w:t>和</w:t>
      </w:r>
      <w:r>
        <w:rPr>
          <w:rFonts w:ascii="仿宋_GB2312" w:hAnsi="仿宋_GB2312" w:cs="仿宋_GB2312" w:eastAsia="仿宋_GB2312"/>
        </w:rPr>
        <w:t>陕西诚采招标有限责任公司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陕西省公路局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陕西诚采招标有限责任公司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陕西诚采招标有限责任公司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一、本项目施工图评审、履约验收等费用，由供应商自行承担。 二、该项目完成后，供应商向采购人申请验收，采购人组织相关人员或专家组成的验收小组对项目进行最终验收。验收合格后，采购人填写终验验收单。验收不合格的，限期整改，整改过程中产生的费用和发生的一切损失由供应商承担；整改超过二次的，采购人有权单方解除本合同，供应商应无条件退还已收取的全部合同价款，并按合同总价10%向采购人支付违约金，违约金不足弥补采购人损失的，由供应商负责赔偿。 三、验收依据： （一）本合同及附加文本； （二）磋商文件、成交供应商的响应文件及澄清（承诺）函； （三）国家相应的标准、规范及《陕西省公路局政府采购项目履约验收办法》（陕公路办〔2024〕7号）。</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陕西诚采招标有限责任公司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陕西诚采招标有限责任公司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陕西诚采招标有限责任公司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联系人：吴浩强、岳迁迁、郭强</w:t>
      </w:r>
    </w:p>
    <w:p>
      <w:pPr>
        <w:pStyle w:val="null3"/>
      </w:pPr>
      <w:r>
        <w:rPr>
          <w:rFonts w:ascii="仿宋_GB2312" w:hAnsi="仿宋_GB2312" w:cs="仿宋_GB2312" w:eastAsia="仿宋_GB2312"/>
        </w:rPr>
        <w:t>联系电话：029-81215580</w:t>
      </w:r>
    </w:p>
    <w:p>
      <w:pPr>
        <w:pStyle w:val="null3"/>
      </w:pPr>
      <w:r>
        <w:rPr>
          <w:rFonts w:ascii="仿宋_GB2312" w:hAnsi="仿宋_GB2312" w:cs="仿宋_GB2312" w:eastAsia="仿宋_GB2312"/>
        </w:rPr>
        <w:t>地址：西安市雁塔区雁翔路与南三环交汇处东北角旺座曲江F座1601室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陕西省普通干线公路交调站建设施工图设计。详见竞争性磋商文件第三部分磋商要求及说明。</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746,900.00</w:t>
      </w:r>
    </w:p>
    <w:p>
      <w:pPr>
        <w:pStyle w:val="null3"/>
      </w:pPr>
      <w:r>
        <w:rPr>
          <w:rFonts w:ascii="仿宋_GB2312" w:hAnsi="仿宋_GB2312" w:cs="仿宋_GB2312" w:eastAsia="仿宋_GB2312"/>
        </w:rPr>
        <w:t>采购包最高限价（元）: 746,900.00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陕西省普通干线公路交调站建设施工图设计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746,900.00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标的名称：陕西省普通干线公路交调站建设施工图设计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358"/>
              <w:jc w:val="both"/>
            </w:pPr>
            <w:r>
              <w:rPr>
                <w:rFonts w:ascii="仿宋_GB2312" w:hAnsi="仿宋_GB2312" w:cs="仿宋_GB2312" w:eastAsia="仿宋_GB2312"/>
                <w:sz w:val="20"/>
                <w:b/>
              </w:rPr>
              <w:t>一、项目背景和目标</w:t>
            </w:r>
          </w:p>
          <w:p>
            <w:pPr>
              <w:pStyle w:val="null3"/>
              <w:ind w:firstLine="356"/>
              <w:jc w:val="both"/>
            </w:pPr>
            <w:r>
              <w:rPr>
                <w:rFonts w:ascii="仿宋_GB2312" w:hAnsi="仿宋_GB2312" w:cs="仿宋_GB2312" w:eastAsia="仿宋_GB2312"/>
                <w:sz w:val="20"/>
              </w:rPr>
              <w:t>为全贯彻《交通强国建设纲要》《国家综合立体交通网规划纲要》精神，按照</w:t>
            </w:r>
            <w:r>
              <w:rPr>
                <w:rFonts w:ascii="仿宋_GB2312" w:hAnsi="仿宋_GB2312" w:cs="仿宋_GB2312" w:eastAsia="仿宋_GB2312"/>
                <w:sz w:val="20"/>
              </w:rPr>
              <w:t>交通运输部《普通国省道交通调查能力全面提升工作方案》要求和陕西省交通运输厅工作安排，</w:t>
            </w:r>
            <w:r>
              <w:rPr>
                <w:rFonts w:ascii="仿宋_GB2312" w:hAnsi="仿宋_GB2312" w:cs="仿宋_GB2312" w:eastAsia="仿宋_GB2312"/>
                <w:sz w:val="20"/>
              </w:rPr>
              <w:t>本项目需提出</w:t>
            </w:r>
            <w:r>
              <w:rPr>
                <w:rFonts w:ascii="仿宋_GB2312" w:hAnsi="仿宋_GB2312" w:cs="仿宋_GB2312" w:eastAsia="仿宋_GB2312"/>
                <w:sz w:val="20"/>
              </w:rPr>
              <w:t>陕西</w:t>
            </w:r>
            <w:r>
              <w:rPr>
                <w:rFonts w:ascii="仿宋_GB2312" w:hAnsi="仿宋_GB2312" w:cs="仿宋_GB2312" w:eastAsia="仿宋_GB2312"/>
                <w:sz w:val="20"/>
              </w:rPr>
              <w:t>省普通干线公路交调站点建设的施工图设计方案，为下一步全面开展交调站点建设</w:t>
            </w:r>
            <w:r>
              <w:rPr>
                <w:rFonts w:ascii="仿宋_GB2312" w:hAnsi="仿宋_GB2312" w:cs="仿宋_GB2312" w:eastAsia="仿宋_GB2312"/>
                <w:sz w:val="20"/>
              </w:rPr>
              <w:t>施工</w:t>
            </w:r>
            <w:r>
              <w:rPr>
                <w:rFonts w:ascii="仿宋_GB2312" w:hAnsi="仿宋_GB2312" w:cs="仿宋_GB2312" w:eastAsia="仿宋_GB2312"/>
                <w:sz w:val="20"/>
              </w:rPr>
              <w:t>提供遵循。</w:t>
            </w:r>
          </w:p>
          <w:p>
            <w:pPr>
              <w:pStyle w:val="null3"/>
              <w:ind w:firstLine="358"/>
              <w:jc w:val="both"/>
            </w:pPr>
            <w:r>
              <w:rPr>
                <w:rFonts w:ascii="仿宋_GB2312" w:hAnsi="仿宋_GB2312" w:cs="仿宋_GB2312" w:eastAsia="仿宋_GB2312"/>
                <w:sz w:val="20"/>
                <w:b/>
              </w:rPr>
              <w:t>二、服务内容</w:t>
            </w:r>
          </w:p>
          <w:p>
            <w:pPr>
              <w:pStyle w:val="null3"/>
              <w:ind w:firstLine="358"/>
              <w:jc w:val="both"/>
            </w:pPr>
            <w:r>
              <w:rPr>
                <w:rFonts w:ascii="仿宋_GB2312" w:hAnsi="仿宋_GB2312" w:cs="仿宋_GB2312" w:eastAsia="仿宋_GB2312"/>
                <w:sz w:val="20"/>
                <w:b/>
              </w:rPr>
              <w:t>（一）设计范围与主要内容</w:t>
            </w:r>
          </w:p>
          <w:p>
            <w:pPr>
              <w:pStyle w:val="null3"/>
              <w:ind w:firstLine="358"/>
              <w:jc w:val="both"/>
            </w:pPr>
            <w:r>
              <w:rPr>
                <w:rFonts w:ascii="仿宋_GB2312" w:hAnsi="仿宋_GB2312" w:cs="仿宋_GB2312" w:eastAsia="仿宋_GB2312"/>
                <w:sz w:val="20"/>
                <w:b/>
              </w:rPr>
              <w:t>设计范围包括：</w:t>
            </w:r>
            <w:r>
              <w:rPr>
                <w:rFonts w:ascii="仿宋_GB2312" w:hAnsi="仿宋_GB2312" w:cs="仿宋_GB2312" w:eastAsia="仿宋_GB2312"/>
                <w:sz w:val="20"/>
              </w:rPr>
              <w:t>本项目需在全省</w:t>
            </w:r>
            <w:r>
              <w:rPr>
                <w:rFonts w:ascii="仿宋_GB2312" w:hAnsi="仿宋_GB2312" w:cs="仿宋_GB2312" w:eastAsia="仿宋_GB2312"/>
                <w:sz w:val="20"/>
              </w:rPr>
              <w:t>普通国道范围内进行</w:t>
            </w:r>
            <w:r>
              <w:rPr>
                <w:rFonts w:ascii="仿宋_GB2312" w:hAnsi="仿宋_GB2312" w:cs="仿宋_GB2312" w:eastAsia="仿宋_GB2312"/>
                <w:sz w:val="20"/>
              </w:rPr>
              <w:t>150处新建多功能交调站点的施工图设计</w:t>
            </w:r>
            <w:r>
              <w:rPr>
                <w:rFonts w:ascii="仿宋_GB2312" w:hAnsi="仿宋_GB2312" w:cs="仿宋_GB2312" w:eastAsia="仿宋_GB2312"/>
                <w:sz w:val="20"/>
              </w:rPr>
              <w:t>。</w:t>
            </w:r>
          </w:p>
          <w:p>
            <w:pPr>
              <w:pStyle w:val="null3"/>
              <w:ind w:firstLine="358"/>
              <w:jc w:val="both"/>
            </w:pPr>
            <w:r>
              <w:rPr>
                <w:rFonts w:ascii="仿宋_GB2312" w:hAnsi="仿宋_GB2312" w:cs="仿宋_GB2312" w:eastAsia="仿宋_GB2312"/>
                <w:sz w:val="20"/>
                <w:b/>
              </w:rPr>
              <w:t>主要内容包括：</w:t>
            </w:r>
            <w:r>
              <w:rPr>
                <w:rFonts w:ascii="仿宋_GB2312" w:hAnsi="仿宋_GB2312" w:cs="仿宋_GB2312" w:eastAsia="仿宋_GB2312"/>
                <w:sz w:val="20"/>
              </w:rPr>
              <w:t>完成施工图设计及配套文件编制</w:t>
            </w:r>
            <w:r>
              <w:rPr>
                <w:rFonts w:ascii="仿宋_GB2312" w:hAnsi="仿宋_GB2312" w:cs="仿宋_GB2312" w:eastAsia="仿宋_GB2312"/>
                <w:sz w:val="20"/>
              </w:rPr>
              <w:t>。</w:t>
            </w:r>
            <w:r>
              <w:rPr>
                <w:rFonts w:ascii="仿宋_GB2312" w:hAnsi="仿宋_GB2312" w:cs="仿宋_GB2312" w:eastAsia="仿宋_GB2312"/>
                <w:sz w:val="20"/>
              </w:rPr>
              <w:t>确保设计深度满足《公路工程基本建设项目设计文件编制办法》等国家标准及行业规范要求。包括</w:t>
            </w:r>
            <w:r>
              <w:rPr>
                <w:rFonts w:ascii="仿宋_GB2312" w:hAnsi="仿宋_GB2312" w:cs="仿宋_GB2312" w:eastAsia="仿宋_GB2312"/>
                <w:sz w:val="20"/>
              </w:rPr>
              <w:t>：</w:t>
            </w:r>
            <w:r>
              <w:rPr>
                <w:rFonts w:ascii="仿宋_GB2312" w:hAnsi="仿宋_GB2312" w:cs="仿宋_GB2312" w:eastAsia="仿宋_GB2312"/>
                <w:sz w:val="20"/>
              </w:rPr>
              <w:t>实际</w:t>
            </w:r>
            <w:r>
              <w:rPr>
                <w:rFonts w:ascii="仿宋_GB2312" w:hAnsi="仿宋_GB2312" w:cs="仿宋_GB2312" w:eastAsia="仿宋_GB2312"/>
                <w:sz w:val="20"/>
              </w:rPr>
              <w:t>站点选址、土建工程、多功能交调设施设备选型、交调系统集成、数据传输及网络供配电等附属设施选型及相关工程造价清单等内容。</w:t>
            </w:r>
          </w:p>
          <w:p>
            <w:pPr>
              <w:pStyle w:val="null3"/>
              <w:ind w:firstLine="356"/>
              <w:jc w:val="both"/>
            </w:pPr>
            <w:r>
              <w:rPr>
                <w:rFonts w:ascii="仿宋_GB2312" w:hAnsi="仿宋_GB2312" w:cs="仿宋_GB2312" w:eastAsia="仿宋_GB2312"/>
                <w:sz w:val="20"/>
              </w:rPr>
              <w:t>多功能交调站点布局方法、建设步骤符合</w:t>
            </w:r>
            <w:r>
              <w:rPr>
                <w:rFonts w:ascii="仿宋_GB2312" w:hAnsi="仿宋_GB2312" w:cs="仿宋_GB2312" w:eastAsia="仿宋_GB2312"/>
                <w:sz w:val="20"/>
              </w:rPr>
              <w:t>交通运输部</w:t>
            </w:r>
            <w:r>
              <w:rPr>
                <w:rFonts w:ascii="仿宋_GB2312" w:hAnsi="仿宋_GB2312" w:cs="仿宋_GB2312" w:eastAsia="仿宋_GB2312"/>
                <w:sz w:val="20"/>
              </w:rPr>
              <w:t>《普通国省道多功能交通调查站布局和建设方案》工作要求；多功能交调站点功能分类、技术要求、建设要求、数据传输、维护等满足《</w:t>
            </w:r>
            <w:r>
              <w:rPr>
                <w:rFonts w:ascii="仿宋_GB2312" w:hAnsi="仿宋_GB2312" w:cs="仿宋_GB2312" w:eastAsia="仿宋_GB2312"/>
                <w:sz w:val="20"/>
              </w:rPr>
              <w:t>普通国省道多功能交通调查站技术指南</w:t>
            </w:r>
            <w:r>
              <w:rPr>
                <w:rFonts w:ascii="仿宋_GB2312" w:hAnsi="仿宋_GB2312" w:cs="仿宋_GB2312" w:eastAsia="仿宋_GB2312"/>
                <w:sz w:val="20"/>
              </w:rPr>
              <w:t>》相关要求。</w:t>
            </w:r>
          </w:p>
          <w:p>
            <w:pPr>
              <w:pStyle w:val="null3"/>
              <w:ind w:firstLine="358"/>
              <w:jc w:val="both"/>
            </w:pPr>
            <w:r>
              <w:rPr>
                <w:rFonts w:ascii="仿宋_GB2312" w:hAnsi="仿宋_GB2312" w:cs="仿宋_GB2312" w:eastAsia="仿宋_GB2312"/>
                <w:sz w:val="20"/>
                <w:b/>
              </w:rPr>
              <w:t xml:space="preserve"> </w:t>
            </w:r>
            <w:r>
              <w:rPr>
                <w:rFonts w:ascii="仿宋_GB2312" w:hAnsi="仿宋_GB2312" w:cs="仿宋_GB2312" w:eastAsia="仿宋_GB2312"/>
                <w:sz w:val="20"/>
                <w:b/>
              </w:rPr>
              <w:t>（二）具体服务内容</w:t>
            </w:r>
            <w:r>
              <w:rPr>
                <w:rFonts w:ascii="仿宋_GB2312" w:hAnsi="仿宋_GB2312" w:cs="仿宋_GB2312" w:eastAsia="仿宋_GB2312"/>
                <w:sz w:val="20"/>
                <w:b/>
              </w:rPr>
              <w:t xml:space="preserve">  </w:t>
            </w:r>
          </w:p>
          <w:p>
            <w:pPr>
              <w:pStyle w:val="null3"/>
              <w:ind w:firstLine="358"/>
              <w:jc w:val="both"/>
            </w:pPr>
            <w:r>
              <w:rPr>
                <w:rFonts w:ascii="仿宋_GB2312" w:hAnsi="仿宋_GB2312" w:cs="仿宋_GB2312" w:eastAsia="仿宋_GB2312"/>
                <w:sz w:val="20"/>
                <w:b/>
              </w:rPr>
              <w:t>1.建设方案编制</w:t>
            </w:r>
          </w:p>
          <w:p>
            <w:pPr>
              <w:pStyle w:val="null3"/>
              <w:ind w:firstLine="356"/>
              <w:jc w:val="both"/>
            </w:pPr>
            <w:r>
              <w:rPr>
                <w:rFonts w:ascii="仿宋_GB2312" w:hAnsi="仿宋_GB2312" w:cs="仿宋_GB2312" w:eastAsia="仿宋_GB2312"/>
                <w:sz w:val="20"/>
              </w:rPr>
              <w:t>完成《</w:t>
            </w:r>
            <w:r>
              <w:rPr>
                <w:rFonts w:ascii="仿宋_GB2312" w:hAnsi="仿宋_GB2312" w:cs="仿宋_GB2312" w:eastAsia="仿宋_GB2312"/>
                <w:sz w:val="20"/>
              </w:rPr>
              <w:t>陕西省普通干线公路交调站建设</w:t>
            </w:r>
            <w:r>
              <w:rPr>
                <w:rFonts w:ascii="仿宋_GB2312" w:hAnsi="仿宋_GB2312" w:cs="仿宋_GB2312" w:eastAsia="仿宋_GB2312"/>
                <w:sz w:val="20"/>
              </w:rPr>
              <w:t>方案</w:t>
            </w:r>
            <w:r>
              <w:rPr>
                <w:rFonts w:ascii="仿宋_GB2312" w:hAnsi="仿宋_GB2312" w:cs="仿宋_GB2312" w:eastAsia="仿宋_GB2312"/>
                <w:sz w:val="20"/>
              </w:rPr>
              <w:t>》</w:t>
            </w:r>
            <w:r>
              <w:rPr>
                <w:rFonts w:ascii="仿宋_GB2312" w:hAnsi="仿宋_GB2312" w:cs="仿宋_GB2312" w:eastAsia="仿宋_GB2312"/>
                <w:sz w:val="20"/>
              </w:rPr>
              <w:t>的编制，主要内容包括：项目可行性分析和项目规划布局建设方案。其中：项目可行性分析主要内容包括：项目概述、背景意义、建设必要性、需求分析、编制依据、项目规模、技术方案、实施安排、社会效益等方面内容；项目规划布局建设方案主要内容包括：规划布局依据、建设目标、实施原则、建设现状、建设内容、实施方案等方面内容。</w:t>
            </w:r>
          </w:p>
          <w:p>
            <w:pPr>
              <w:pStyle w:val="null3"/>
              <w:ind w:firstLine="358"/>
              <w:jc w:val="both"/>
            </w:pPr>
            <w:r>
              <w:rPr>
                <w:rFonts w:ascii="仿宋_GB2312" w:hAnsi="仿宋_GB2312" w:cs="仿宋_GB2312" w:eastAsia="仿宋_GB2312"/>
                <w:sz w:val="20"/>
                <w:b/>
              </w:rPr>
              <w:t>2</w:t>
            </w:r>
            <w:r>
              <w:rPr>
                <w:rFonts w:ascii="仿宋_GB2312" w:hAnsi="仿宋_GB2312" w:cs="仿宋_GB2312" w:eastAsia="仿宋_GB2312"/>
                <w:sz w:val="20"/>
                <w:b/>
              </w:rPr>
              <w:t>.</w:t>
            </w:r>
            <w:r>
              <w:rPr>
                <w:rFonts w:ascii="仿宋_GB2312" w:hAnsi="仿宋_GB2312" w:cs="仿宋_GB2312" w:eastAsia="仿宋_GB2312"/>
                <w:sz w:val="20"/>
                <w:b/>
              </w:rPr>
              <w:t>施工图设计</w:t>
            </w:r>
            <w:r>
              <w:rPr>
                <w:rFonts w:ascii="仿宋_GB2312" w:hAnsi="仿宋_GB2312" w:cs="仿宋_GB2312" w:eastAsia="仿宋_GB2312"/>
                <w:sz w:val="21"/>
              </w:rPr>
              <w:t xml:space="preserve"> </w:t>
            </w:r>
          </w:p>
          <w:p>
            <w:pPr>
              <w:pStyle w:val="null3"/>
              <w:ind w:firstLine="356"/>
              <w:jc w:val="both"/>
            </w:pPr>
            <w:r>
              <w:rPr>
                <w:rFonts w:ascii="仿宋_GB2312" w:hAnsi="仿宋_GB2312" w:cs="仿宋_GB2312" w:eastAsia="仿宋_GB2312"/>
                <w:sz w:val="20"/>
              </w:rPr>
              <w:t>（</w:t>
            </w:r>
            <w:r>
              <w:rPr>
                <w:rFonts w:ascii="仿宋_GB2312" w:hAnsi="仿宋_GB2312" w:cs="仿宋_GB2312" w:eastAsia="仿宋_GB2312"/>
                <w:sz w:val="20"/>
              </w:rPr>
              <w:t>1）站点</w:t>
            </w:r>
            <w:r>
              <w:rPr>
                <w:rFonts w:ascii="仿宋_GB2312" w:hAnsi="仿宋_GB2312" w:cs="仿宋_GB2312" w:eastAsia="仿宋_GB2312"/>
                <w:sz w:val="20"/>
              </w:rPr>
              <w:t>实际</w:t>
            </w:r>
            <w:r>
              <w:rPr>
                <w:rFonts w:ascii="仿宋_GB2312" w:hAnsi="仿宋_GB2312" w:cs="仿宋_GB2312" w:eastAsia="仿宋_GB2312"/>
                <w:sz w:val="20"/>
              </w:rPr>
              <w:t>选址与布局设计</w:t>
            </w:r>
            <w:r>
              <w:rPr>
                <w:rFonts w:ascii="仿宋_GB2312" w:hAnsi="仿宋_GB2312" w:cs="仿宋_GB2312" w:eastAsia="仿宋_GB2312"/>
                <w:sz w:val="20"/>
              </w:rPr>
              <w:t xml:space="preserve">  </w:t>
            </w:r>
          </w:p>
          <w:p>
            <w:pPr>
              <w:pStyle w:val="null3"/>
              <w:ind w:firstLine="356"/>
              <w:jc w:val="both"/>
            </w:pPr>
            <w:r>
              <w:rPr>
                <w:rFonts w:ascii="仿宋_GB2312" w:hAnsi="仿宋_GB2312" w:cs="仿宋_GB2312" w:eastAsia="仿宋_GB2312"/>
                <w:sz w:val="20"/>
              </w:rPr>
              <w:t>站点</w:t>
            </w:r>
            <w:r>
              <w:rPr>
                <w:rFonts w:ascii="仿宋_GB2312" w:hAnsi="仿宋_GB2312" w:cs="仿宋_GB2312" w:eastAsia="仿宋_GB2312"/>
                <w:sz w:val="20"/>
              </w:rPr>
              <w:t>实际</w:t>
            </w:r>
            <w:r>
              <w:rPr>
                <w:rFonts w:ascii="仿宋_GB2312" w:hAnsi="仿宋_GB2312" w:cs="仿宋_GB2312" w:eastAsia="仿宋_GB2312"/>
                <w:sz w:val="20"/>
              </w:rPr>
              <w:t>选址：结合</w:t>
            </w:r>
            <w:r>
              <w:rPr>
                <w:rFonts w:ascii="仿宋_GB2312" w:hAnsi="仿宋_GB2312" w:cs="仿宋_GB2312" w:eastAsia="仿宋_GB2312"/>
                <w:sz w:val="20"/>
              </w:rPr>
              <w:t>规划点位</w:t>
            </w:r>
            <w:r>
              <w:rPr>
                <w:rFonts w:ascii="仿宋_GB2312" w:hAnsi="仿宋_GB2312" w:cs="仿宋_GB2312" w:eastAsia="仿宋_GB2312"/>
                <w:sz w:val="20"/>
              </w:rPr>
              <w:t>周边</w:t>
            </w:r>
            <w:r>
              <w:rPr>
                <w:rFonts w:ascii="仿宋_GB2312" w:hAnsi="仿宋_GB2312" w:cs="仿宋_GB2312" w:eastAsia="仿宋_GB2312"/>
                <w:sz w:val="20"/>
              </w:rPr>
              <w:t>电力、网络、公路运行环境等因素综合考量，需</w:t>
            </w:r>
            <w:r>
              <w:rPr>
                <w:rFonts w:ascii="仿宋_GB2312" w:hAnsi="仿宋_GB2312" w:cs="仿宋_GB2312" w:eastAsia="仿宋_GB2312"/>
                <w:sz w:val="20"/>
              </w:rPr>
              <w:t>开展现场踏勘</w:t>
            </w:r>
            <w:r>
              <w:rPr>
                <w:rFonts w:ascii="仿宋_GB2312" w:hAnsi="仿宋_GB2312" w:cs="仿宋_GB2312" w:eastAsia="仿宋_GB2312"/>
                <w:sz w:val="20"/>
              </w:rPr>
              <w:t>，</w:t>
            </w:r>
            <w:r>
              <w:rPr>
                <w:rFonts w:ascii="仿宋_GB2312" w:hAnsi="仿宋_GB2312" w:cs="仿宋_GB2312" w:eastAsia="仿宋_GB2312"/>
                <w:sz w:val="20"/>
              </w:rPr>
              <w:t>最终确定多功能交调站点布设施工位置。</w:t>
            </w:r>
            <w:r>
              <w:rPr>
                <w:rFonts w:ascii="仿宋_GB2312" w:hAnsi="仿宋_GB2312" w:cs="仿宋_GB2312" w:eastAsia="仿宋_GB2312"/>
                <w:sz w:val="20"/>
              </w:rPr>
              <w:t>原则上</w:t>
            </w:r>
            <w:r>
              <w:rPr>
                <w:rFonts w:ascii="仿宋_GB2312" w:hAnsi="仿宋_GB2312" w:cs="仿宋_GB2312" w:eastAsia="仿宋_GB2312"/>
                <w:sz w:val="20"/>
              </w:rPr>
              <w:t>优先覆盖交通流量较大路段、货运通行繁忙路段，</w:t>
            </w:r>
            <w:r>
              <w:rPr>
                <w:rFonts w:ascii="仿宋_GB2312" w:hAnsi="仿宋_GB2312" w:cs="仿宋_GB2312" w:eastAsia="仿宋_GB2312"/>
                <w:sz w:val="20"/>
              </w:rPr>
              <w:t>省界出入口路段。</w:t>
            </w:r>
          </w:p>
          <w:p>
            <w:pPr>
              <w:pStyle w:val="null3"/>
              <w:ind w:firstLine="356"/>
              <w:jc w:val="both"/>
            </w:pPr>
            <w:r>
              <w:rPr>
                <w:rFonts w:ascii="仿宋_GB2312" w:hAnsi="仿宋_GB2312" w:cs="仿宋_GB2312" w:eastAsia="仿宋_GB2312"/>
                <w:sz w:val="20"/>
              </w:rPr>
              <w:t>平面布局设计需满足：设备安装位置符合安全视距要求；设备布设与交通流方向匹配，避免干扰正常通行；预留设备维护空间等。</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0"/>
              </w:rPr>
              <w:t>（</w:t>
            </w:r>
            <w:r>
              <w:rPr>
                <w:rFonts w:ascii="仿宋_GB2312" w:hAnsi="仿宋_GB2312" w:cs="仿宋_GB2312" w:eastAsia="仿宋_GB2312"/>
                <w:sz w:val="20"/>
              </w:rPr>
              <w:t xml:space="preserve">2）土建工程设计  </w:t>
            </w:r>
          </w:p>
          <w:p>
            <w:pPr>
              <w:pStyle w:val="null3"/>
              <w:ind w:firstLine="356"/>
              <w:jc w:val="both"/>
            </w:pPr>
            <w:r>
              <w:rPr>
                <w:rFonts w:ascii="仿宋_GB2312" w:hAnsi="仿宋_GB2312" w:cs="仿宋_GB2312" w:eastAsia="仿宋_GB2312"/>
                <w:sz w:val="20"/>
              </w:rPr>
              <w:t>需按照站点实际选址位置设置预埋件，路基段基础采用明挖法施工，基底应先整平、夯实，控制好标高。</w:t>
            </w:r>
          </w:p>
          <w:p>
            <w:pPr>
              <w:pStyle w:val="null3"/>
              <w:ind w:firstLine="356"/>
              <w:jc w:val="both"/>
            </w:pPr>
            <w:r>
              <w:rPr>
                <w:rFonts w:ascii="仿宋_GB2312" w:hAnsi="仿宋_GB2312" w:cs="仿宋_GB2312" w:eastAsia="仿宋_GB2312"/>
                <w:sz w:val="20"/>
              </w:rPr>
              <w:t>基础工程：根据地质勘察报告设计设备基础、管线预埋、防雷接地系统，满足《公路工程抗震设计规范》等国家标准及行业规范要求。</w:t>
            </w:r>
            <w:r>
              <w:rPr>
                <w:rFonts w:ascii="仿宋_GB2312" w:hAnsi="仿宋_GB2312" w:cs="仿宋_GB2312" w:eastAsia="仿宋_GB2312"/>
                <w:sz w:val="20"/>
              </w:rPr>
              <w:t xml:space="preserve">  </w:t>
            </w:r>
          </w:p>
          <w:p>
            <w:pPr>
              <w:pStyle w:val="null3"/>
              <w:ind w:firstLine="356"/>
              <w:jc w:val="both"/>
            </w:pPr>
            <w:r>
              <w:rPr>
                <w:rFonts w:ascii="仿宋_GB2312" w:hAnsi="仿宋_GB2312" w:cs="仿宋_GB2312" w:eastAsia="仿宋_GB2312"/>
                <w:sz w:val="20"/>
              </w:rPr>
              <w:t>结构设计：包括多功能交调站点机房、设备支架、门架等</w:t>
            </w:r>
            <w:r>
              <w:rPr>
                <w:rFonts w:ascii="仿宋_GB2312" w:hAnsi="仿宋_GB2312" w:cs="仿宋_GB2312" w:eastAsia="仿宋_GB2312"/>
                <w:sz w:val="20"/>
              </w:rPr>
              <w:t>结构件</w:t>
            </w:r>
            <w:r>
              <w:rPr>
                <w:rFonts w:ascii="仿宋_GB2312" w:hAnsi="仿宋_GB2312" w:cs="仿宋_GB2312" w:eastAsia="仿宋_GB2312"/>
                <w:sz w:val="20"/>
              </w:rPr>
              <w:t>，需进行荷载计算并符合</w:t>
            </w:r>
            <w:r>
              <w:rPr>
                <w:rFonts w:ascii="仿宋_GB2312" w:hAnsi="仿宋_GB2312" w:cs="仿宋_GB2312" w:eastAsia="仿宋_GB2312"/>
                <w:sz w:val="20"/>
              </w:rPr>
              <w:t>相关基础设施建设标准规范</w:t>
            </w:r>
            <w:r>
              <w:rPr>
                <w:rFonts w:ascii="仿宋_GB2312" w:hAnsi="仿宋_GB2312" w:cs="仿宋_GB2312" w:eastAsia="仿宋_GB2312"/>
                <w:sz w:val="20"/>
              </w:rPr>
              <w:t>要求</w:t>
            </w:r>
            <w:r>
              <w:rPr>
                <w:rFonts w:ascii="仿宋_GB2312" w:hAnsi="仿宋_GB2312" w:cs="仿宋_GB2312" w:eastAsia="仿宋_GB2312"/>
                <w:sz w:val="20"/>
              </w:rPr>
              <w:t>。</w:t>
            </w:r>
          </w:p>
          <w:p>
            <w:pPr>
              <w:pStyle w:val="null3"/>
              <w:ind w:firstLine="356"/>
              <w:jc w:val="both"/>
            </w:pPr>
            <w:r>
              <w:rPr>
                <w:rFonts w:ascii="仿宋_GB2312" w:hAnsi="仿宋_GB2312" w:cs="仿宋_GB2312" w:eastAsia="仿宋_GB2312"/>
                <w:sz w:val="20"/>
              </w:rPr>
              <w:t>（</w:t>
            </w:r>
            <w:r>
              <w:rPr>
                <w:rFonts w:ascii="仿宋_GB2312" w:hAnsi="仿宋_GB2312" w:cs="仿宋_GB2312" w:eastAsia="仿宋_GB2312"/>
                <w:sz w:val="20"/>
              </w:rPr>
              <w:t xml:space="preserve">3）设备系统设计  </w:t>
            </w:r>
          </w:p>
          <w:p>
            <w:pPr>
              <w:pStyle w:val="null3"/>
              <w:ind w:firstLine="356"/>
              <w:jc w:val="both"/>
            </w:pPr>
            <w:r>
              <w:rPr>
                <w:rFonts w:ascii="仿宋_GB2312" w:hAnsi="仿宋_GB2312" w:cs="仿宋_GB2312" w:eastAsia="仿宋_GB2312"/>
                <w:sz w:val="20"/>
              </w:rPr>
              <w:t>多功能交调站点设备选型需符合《普通国省道多功能交通调查站技术指南》采集要求、功能要求、环境要求等技术要求，包括：车牌识别设备</w:t>
            </w:r>
            <w:r>
              <w:rPr>
                <w:rFonts w:ascii="仿宋_GB2312" w:hAnsi="仿宋_GB2312" w:cs="仿宋_GB2312" w:eastAsia="仿宋_GB2312"/>
                <w:sz w:val="20"/>
              </w:rPr>
              <w:t>；</w:t>
            </w:r>
            <w:r>
              <w:rPr>
                <w:rFonts w:ascii="仿宋_GB2312" w:hAnsi="仿宋_GB2312" w:cs="仿宋_GB2312" w:eastAsia="仿宋_GB2312"/>
                <w:sz w:val="20"/>
              </w:rPr>
              <w:t>微波</w:t>
            </w:r>
            <w:r>
              <w:rPr>
                <w:rFonts w:ascii="仿宋_GB2312" w:hAnsi="仿宋_GB2312" w:cs="仿宋_GB2312" w:eastAsia="仿宋_GB2312"/>
                <w:sz w:val="20"/>
              </w:rPr>
              <w:t>、</w:t>
            </w:r>
            <w:r>
              <w:rPr>
                <w:rFonts w:ascii="仿宋_GB2312" w:hAnsi="仿宋_GB2312" w:cs="仿宋_GB2312" w:eastAsia="仿宋_GB2312"/>
                <w:sz w:val="20"/>
              </w:rPr>
              <w:t>激光</w:t>
            </w:r>
            <w:r>
              <w:rPr>
                <w:rFonts w:ascii="仿宋_GB2312" w:hAnsi="仿宋_GB2312" w:cs="仿宋_GB2312" w:eastAsia="仿宋_GB2312"/>
                <w:sz w:val="20"/>
              </w:rPr>
              <w:t>、</w:t>
            </w:r>
            <w:r>
              <w:rPr>
                <w:rFonts w:ascii="仿宋_GB2312" w:hAnsi="仿宋_GB2312" w:cs="仿宋_GB2312" w:eastAsia="仿宋_GB2312"/>
                <w:sz w:val="20"/>
              </w:rPr>
              <w:t>视频</w:t>
            </w:r>
            <w:r>
              <w:rPr>
                <w:rFonts w:ascii="仿宋_GB2312" w:hAnsi="仿宋_GB2312" w:cs="仿宋_GB2312" w:eastAsia="仿宋_GB2312"/>
                <w:sz w:val="20"/>
              </w:rPr>
              <w:t>式</w:t>
            </w:r>
            <w:r>
              <w:rPr>
                <w:rFonts w:ascii="仿宋_GB2312" w:hAnsi="仿宋_GB2312" w:cs="仿宋_GB2312" w:eastAsia="仿宋_GB2312"/>
                <w:sz w:val="20"/>
              </w:rPr>
              <w:t>交通流量（含车速、车型）检测设备；视频监测设备；车重监测设备；气象监测设备；其他监测设备。</w:t>
            </w:r>
            <w:r>
              <w:rPr>
                <w:rFonts w:ascii="仿宋_GB2312" w:hAnsi="仿宋_GB2312" w:cs="仿宋_GB2312" w:eastAsia="仿宋_GB2312"/>
                <w:sz w:val="20"/>
              </w:rPr>
              <w:t>同时</w:t>
            </w:r>
            <w:r>
              <w:rPr>
                <w:rFonts w:ascii="仿宋_GB2312" w:hAnsi="仿宋_GB2312" w:cs="仿宋_GB2312" w:eastAsia="仿宋_GB2312"/>
                <w:sz w:val="20"/>
              </w:rPr>
              <w:t>应充分考虑</w:t>
            </w:r>
            <w:r>
              <w:rPr>
                <w:rFonts w:ascii="仿宋_GB2312" w:hAnsi="仿宋_GB2312" w:cs="仿宋_GB2312" w:eastAsia="仿宋_GB2312"/>
                <w:sz w:val="20"/>
              </w:rPr>
              <w:t>各点位实际公路运行</w:t>
            </w:r>
            <w:r>
              <w:rPr>
                <w:rFonts w:ascii="仿宋_GB2312" w:hAnsi="仿宋_GB2312" w:cs="仿宋_GB2312" w:eastAsia="仿宋_GB2312"/>
                <w:sz w:val="20"/>
              </w:rPr>
              <w:t>环境对设备的影响，在外部环境发生变化时所选取的监测设施应当具有自动调节功能以确保检测精度。</w:t>
            </w:r>
          </w:p>
          <w:p>
            <w:pPr>
              <w:pStyle w:val="null3"/>
              <w:ind w:firstLine="356"/>
              <w:jc w:val="both"/>
            </w:pPr>
            <w:r>
              <w:rPr>
                <w:rFonts w:ascii="仿宋_GB2312" w:hAnsi="仿宋_GB2312" w:cs="仿宋_GB2312" w:eastAsia="仿宋_GB2312"/>
                <w:sz w:val="20"/>
              </w:rPr>
              <w:t>其中：车牌识别设备、交通流量检测设备、视频监测设备为多功能交调站点必备基础功能，车重监测、气象监测、其他监测</w:t>
            </w:r>
            <w:r>
              <w:rPr>
                <w:rFonts w:ascii="仿宋_GB2312" w:hAnsi="仿宋_GB2312" w:cs="仿宋_GB2312" w:eastAsia="仿宋_GB2312"/>
                <w:sz w:val="20"/>
              </w:rPr>
              <w:t>设备</w:t>
            </w:r>
            <w:r>
              <w:rPr>
                <w:rFonts w:ascii="仿宋_GB2312" w:hAnsi="仿宋_GB2312" w:cs="仿宋_GB2312" w:eastAsia="仿宋_GB2312"/>
                <w:sz w:val="20"/>
              </w:rPr>
              <w:t>按照普通国道通行需要合理增设。</w:t>
            </w:r>
          </w:p>
          <w:p>
            <w:pPr>
              <w:pStyle w:val="null3"/>
              <w:ind w:firstLine="356"/>
              <w:jc w:val="both"/>
            </w:pPr>
            <w:r>
              <w:rPr>
                <w:rFonts w:ascii="仿宋_GB2312" w:hAnsi="仿宋_GB2312" w:cs="仿宋_GB2312" w:eastAsia="仿宋_GB2312"/>
                <w:sz w:val="20"/>
              </w:rPr>
              <w:t>（</w:t>
            </w:r>
            <w:r>
              <w:rPr>
                <w:rFonts w:ascii="仿宋_GB2312" w:hAnsi="仿宋_GB2312" w:cs="仿宋_GB2312" w:eastAsia="仿宋_GB2312"/>
                <w:sz w:val="20"/>
              </w:rPr>
              <w:t>4）供配电与</w:t>
            </w:r>
            <w:r>
              <w:rPr>
                <w:rFonts w:ascii="仿宋_GB2312" w:hAnsi="仿宋_GB2312" w:cs="仿宋_GB2312" w:eastAsia="仿宋_GB2312"/>
                <w:sz w:val="20"/>
              </w:rPr>
              <w:t>网络</w:t>
            </w:r>
            <w:r>
              <w:rPr>
                <w:rFonts w:ascii="仿宋_GB2312" w:hAnsi="仿宋_GB2312" w:cs="仿宋_GB2312" w:eastAsia="仿宋_GB2312"/>
                <w:sz w:val="20"/>
              </w:rPr>
              <w:t>通信设计</w:t>
            </w:r>
            <w:r>
              <w:rPr>
                <w:rFonts w:ascii="仿宋_GB2312" w:hAnsi="仿宋_GB2312" w:cs="仿宋_GB2312" w:eastAsia="仿宋_GB2312"/>
                <w:sz w:val="20"/>
              </w:rPr>
              <w:t xml:space="preserve">  </w:t>
            </w:r>
          </w:p>
          <w:p>
            <w:pPr>
              <w:pStyle w:val="null3"/>
              <w:ind w:firstLine="356"/>
              <w:jc w:val="both"/>
            </w:pPr>
            <w:r>
              <w:rPr>
                <w:rFonts w:ascii="仿宋_GB2312" w:hAnsi="仿宋_GB2312" w:cs="仿宋_GB2312" w:eastAsia="仿宋_GB2312"/>
                <w:sz w:val="20"/>
              </w:rPr>
              <w:t>多功能交调站点供配电及网络通信设计需考虑多功能交调站点电力、网络传输的安全性、稳定性、经济性、适用性、易维护性等特点。</w:t>
            </w:r>
          </w:p>
          <w:p>
            <w:pPr>
              <w:pStyle w:val="null3"/>
              <w:ind w:firstLine="356"/>
              <w:jc w:val="both"/>
            </w:pPr>
            <w:r>
              <w:rPr>
                <w:rFonts w:ascii="仿宋_GB2312" w:hAnsi="仿宋_GB2312" w:cs="仿宋_GB2312" w:eastAsia="仿宋_GB2312"/>
                <w:sz w:val="20"/>
              </w:rPr>
              <w:t>供电方案：优先采用市电接入，并配置</w:t>
            </w:r>
            <w:r>
              <w:rPr>
                <w:rFonts w:ascii="仿宋_GB2312" w:hAnsi="仿宋_GB2312" w:cs="仿宋_GB2312" w:eastAsia="仿宋_GB2312"/>
                <w:sz w:val="20"/>
              </w:rPr>
              <w:t xml:space="preserve">UPS电源及太阳能辅助供电（偏远山区供电不良路段）。  </w:t>
            </w:r>
          </w:p>
          <w:p>
            <w:pPr>
              <w:pStyle w:val="null3"/>
              <w:ind w:firstLine="356"/>
              <w:jc w:val="both"/>
            </w:pPr>
            <w:r>
              <w:rPr>
                <w:rFonts w:ascii="仿宋_GB2312" w:hAnsi="仿宋_GB2312" w:cs="仿宋_GB2312" w:eastAsia="仿宋_GB2312"/>
                <w:sz w:val="20"/>
              </w:rPr>
              <w:t>通信网络：优先采用</w:t>
            </w:r>
            <w:r>
              <w:rPr>
                <w:rFonts w:ascii="仿宋_GB2312" w:hAnsi="仿宋_GB2312" w:cs="仿宋_GB2312" w:eastAsia="仿宋_GB2312"/>
                <w:sz w:val="20"/>
              </w:rPr>
              <w:t>互联网</w:t>
            </w:r>
            <w:r>
              <w:rPr>
                <w:rFonts w:ascii="仿宋_GB2312" w:hAnsi="仿宋_GB2312" w:cs="仿宋_GB2312" w:eastAsia="仿宋_GB2312"/>
                <w:sz w:val="20"/>
              </w:rPr>
              <w:t>线路</w:t>
            </w:r>
            <w:r>
              <w:rPr>
                <w:rFonts w:ascii="仿宋_GB2312" w:hAnsi="仿宋_GB2312" w:cs="仿宋_GB2312" w:eastAsia="仿宋_GB2312"/>
                <w:sz w:val="20"/>
              </w:rPr>
              <w:t>直连</w:t>
            </w:r>
            <w:r>
              <w:rPr>
                <w:rFonts w:ascii="仿宋_GB2312" w:hAnsi="仿宋_GB2312" w:cs="仿宋_GB2312" w:eastAsia="仿宋_GB2312"/>
                <w:sz w:val="20"/>
              </w:rPr>
              <w:t>网络传输</w:t>
            </w:r>
            <w:r>
              <w:rPr>
                <w:rFonts w:ascii="仿宋_GB2312" w:hAnsi="仿宋_GB2312" w:cs="仿宋_GB2312" w:eastAsia="仿宋_GB2312"/>
                <w:sz w:val="20"/>
              </w:rPr>
              <w:t>方式</w:t>
            </w:r>
            <w:r>
              <w:rPr>
                <w:rFonts w:ascii="仿宋_GB2312" w:hAnsi="仿宋_GB2312" w:cs="仿宋_GB2312" w:eastAsia="仿宋_GB2312"/>
                <w:sz w:val="20"/>
              </w:rPr>
              <w:t>，网络通信不良路段可采用微波、</w:t>
            </w:r>
            <w:r>
              <w:rPr>
                <w:rFonts w:ascii="仿宋_GB2312" w:hAnsi="仿宋_GB2312" w:cs="仿宋_GB2312" w:eastAsia="仿宋_GB2312"/>
                <w:sz w:val="20"/>
              </w:rPr>
              <w:t>4G/5G</w:t>
            </w:r>
            <w:r>
              <w:rPr>
                <w:rFonts w:ascii="仿宋_GB2312" w:hAnsi="仿宋_GB2312" w:cs="仿宋_GB2312" w:eastAsia="仿宋_GB2312"/>
                <w:sz w:val="20"/>
              </w:rPr>
              <w:t>等</w:t>
            </w:r>
            <w:r>
              <w:rPr>
                <w:rFonts w:ascii="仿宋_GB2312" w:hAnsi="仿宋_GB2312" w:cs="仿宋_GB2312" w:eastAsia="仿宋_GB2312"/>
                <w:sz w:val="20"/>
              </w:rPr>
              <w:t>无线网络传输方式（偏远山区通讯不良路段），确保数据实时上传至省级平台。</w:t>
            </w:r>
            <w:r>
              <w:rPr>
                <w:rFonts w:ascii="仿宋_GB2312" w:hAnsi="仿宋_GB2312" w:cs="仿宋_GB2312" w:eastAsia="仿宋_GB2312"/>
                <w:sz w:val="20"/>
              </w:rPr>
              <w:t xml:space="preserve">  </w:t>
            </w:r>
          </w:p>
          <w:p>
            <w:pPr>
              <w:pStyle w:val="null3"/>
              <w:ind w:firstLine="358"/>
              <w:jc w:val="both"/>
            </w:pPr>
            <w:r>
              <w:rPr>
                <w:rFonts w:ascii="仿宋_GB2312" w:hAnsi="仿宋_GB2312" w:cs="仿宋_GB2312" w:eastAsia="仿宋_GB2312"/>
                <w:sz w:val="20"/>
                <w:b/>
              </w:rPr>
              <w:t>3</w:t>
            </w:r>
            <w:r>
              <w:rPr>
                <w:rFonts w:ascii="仿宋_GB2312" w:hAnsi="仿宋_GB2312" w:cs="仿宋_GB2312" w:eastAsia="仿宋_GB2312"/>
                <w:sz w:val="20"/>
                <w:b/>
              </w:rPr>
              <w:t xml:space="preserve">. 设计文件编制  </w:t>
            </w:r>
          </w:p>
          <w:p>
            <w:pPr>
              <w:pStyle w:val="null3"/>
              <w:ind w:firstLine="356"/>
              <w:jc w:val="both"/>
            </w:pPr>
            <w:r>
              <w:rPr>
                <w:rFonts w:ascii="仿宋_GB2312" w:hAnsi="仿宋_GB2312" w:cs="仿宋_GB2312" w:eastAsia="仿宋_GB2312"/>
                <w:sz w:val="20"/>
              </w:rPr>
              <w:t>（</w:t>
            </w:r>
            <w:r>
              <w:rPr>
                <w:rFonts w:ascii="仿宋_GB2312" w:hAnsi="仿宋_GB2312" w:cs="仿宋_GB2312" w:eastAsia="仿宋_GB2312"/>
                <w:sz w:val="20"/>
              </w:rPr>
              <w:t xml:space="preserve">1）施工图设计文件  </w:t>
            </w:r>
          </w:p>
          <w:p>
            <w:pPr>
              <w:pStyle w:val="null3"/>
              <w:ind w:firstLine="356"/>
              <w:jc w:val="both"/>
            </w:pPr>
            <w:r>
              <w:rPr>
                <w:rFonts w:ascii="仿宋_GB2312" w:hAnsi="仿宋_GB2312" w:cs="仿宋_GB2312" w:eastAsia="仿宋_GB2312"/>
                <w:sz w:val="20"/>
              </w:rPr>
              <w:t>图纸内容：多功能交调站点总平面图、设备布置图、电气系统图、结构详图、管线综合图等</w:t>
            </w:r>
            <w:r>
              <w:rPr>
                <w:rFonts w:ascii="仿宋_GB2312" w:hAnsi="仿宋_GB2312" w:cs="仿宋_GB2312" w:eastAsia="仿宋_GB2312"/>
                <w:sz w:val="20"/>
              </w:rPr>
              <w:t>规范性图纸</w:t>
            </w:r>
            <w:r>
              <w:rPr>
                <w:rFonts w:ascii="仿宋_GB2312" w:hAnsi="仿宋_GB2312" w:cs="仿宋_GB2312" w:eastAsia="仿宋_GB2312"/>
                <w:sz w:val="20"/>
              </w:rPr>
              <w:t>。</w:t>
            </w:r>
          </w:p>
          <w:p>
            <w:pPr>
              <w:pStyle w:val="null3"/>
              <w:ind w:firstLine="356"/>
              <w:jc w:val="both"/>
            </w:pPr>
            <w:r>
              <w:rPr>
                <w:rFonts w:ascii="仿宋_GB2312" w:hAnsi="仿宋_GB2312" w:cs="仿宋_GB2312" w:eastAsia="仿宋_GB2312"/>
                <w:sz w:val="20"/>
              </w:rPr>
              <w:t>技术要求：标注材料规格、施工工艺、设备参数</w:t>
            </w:r>
            <w:r>
              <w:rPr>
                <w:rFonts w:ascii="仿宋_GB2312" w:hAnsi="仿宋_GB2312" w:cs="仿宋_GB2312" w:eastAsia="仿宋_GB2312"/>
                <w:sz w:val="20"/>
              </w:rPr>
              <w:t>等内容</w:t>
            </w:r>
            <w:r>
              <w:rPr>
                <w:rFonts w:ascii="仿宋_GB2312" w:hAnsi="仿宋_GB2312" w:cs="仿宋_GB2312" w:eastAsia="仿宋_GB2312"/>
                <w:sz w:val="20"/>
              </w:rPr>
              <w:t>，明确验收标准。</w:t>
            </w:r>
            <w:r>
              <w:rPr>
                <w:rFonts w:ascii="仿宋_GB2312" w:hAnsi="仿宋_GB2312" w:cs="仿宋_GB2312" w:eastAsia="仿宋_GB2312"/>
                <w:sz w:val="20"/>
              </w:rPr>
              <w:t xml:space="preserve">  </w:t>
            </w:r>
          </w:p>
          <w:p>
            <w:pPr>
              <w:pStyle w:val="null3"/>
              <w:ind w:firstLine="356"/>
              <w:jc w:val="both"/>
            </w:pPr>
            <w:r>
              <w:rPr>
                <w:rFonts w:ascii="仿宋_GB2312" w:hAnsi="仿宋_GB2312" w:cs="仿宋_GB2312" w:eastAsia="仿宋_GB2312"/>
                <w:sz w:val="20"/>
              </w:rPr>
              <w:t>（</w:t>
            </w:r>
            <w:r>
              <w:rPr>
                <w:rFonts w:ascii="仿宋_GB2312" w:hAnsi="仿宋_GB2312" w:cs="仿宋_GB2312" w:eastAsia="仿宋_GB2312"/>
                <w:sz w:val="20"/>
              </w:rPr>
              <w:t xml:space="preserve">2）工程量清单与预算  </w:t>
            </w:r>
          </w:p>
          <w:p>
            <w:pPr>
              <w:pStyle w:val="null3"/>
              <w:ind w:firstLine="356"/>
              <w:jc w:val="both"/>
            </w:pPr>
            <w:r>
              <w:rPr>
                <w:rFonts w:ascii="仿宋_GB2312" w:hAnsi="仿宋_GB2312" w:cs="仿宋_GB2312" w:eastAsia="仿宋_GB2312"/>
                <w:sz w:val="20"/>
              </w:rPr>
              <w:t>依据《公路工程建设项目概算预算编制办法》</w:t>
            </w:r>
            <w:r>
              <w:rPr>
                <w:rFonts w:ascii="仿宋_GB2312" w:hAnsi="仿宋_GB2312" w:cs="仿宋_GB2312" w:eastAsia="仿宋_GB2312"/>
                <w:sz w:val="20"/>
              </w:rPr>
              <w:t>等标准、要求进行</w:t>
            </w:r>
            <w:r>
              <w:rPr>
                <w:rFonts w:ascii="仿宋_GB2312" w:hAnsi="仿宋_GB2312" w:cs="仿宋_GB2312" w:eastAsia="仿宋_GB2312"/>
                <w:sz w:val="20"/>
              </w:rPr>
              <w:t>编制，</w:t>
            </w:r>
            <w:r>
              <w:rPr>
                <w:rFonts w:ascii="仿宋_GB2312" w:hAnsi="仿宋_GB2312" w:cs="仿宋_GB2312" w:eastAsia="仿宋_GB2312"/>
                <w:sz w:val="20"/>
              </w:rPr>
              <w:t>需</w:t>
            </w:r>
            <w:r>
              <w:rPr>
                <w:rFonts w:ascii="仿宋_GB2312" w:hAnsi="仿宋_GB2312" w:cs="仿宋_GB2312" w:eastAsia="仿宋_GB2312"/>
                <w:sz w:val="20"/>
              </w:rPr>
              <w:t>分项列出土建、设备、安装等费用</w:t>
            </w:r>
            <w:r>
              <w:rPr>
                <w:rFonts w:ascii="仿宋_GB2312" w:hAnsi="仿宋_GB2312" w:cs="仿宋_GB2312" w:eastAsia="仿宋_GB2312"/>
                <w:sz w:val="20"/>
              </w:rPr>
              <w:t>明细</w:t>
            </w:r>
            <w:r>
              <w:rPr>
                <w:rFonts w:ascii="仿宋_GB2312" w:hAnsi="仿宋_GB2312" w:cs="仿宋_GB2312" w:eastAsia="仿宋_GB2312"/>
                <w:sz w:val="20"/>
              </w:rPr>
              <w:t>。</w:t>
            </w:r>
            <w:r>
              <w:rPr>
                <w:rFonts w:ascii="仿宋_GB2312" w:hAnsi="仿宋_GB2312" w:cs="仿宋_GB2312" w:eastAsia="仿宋_GB2312"/>
                <w:sz w:val="20"/>
              </w:rPr>
              <w:t xml:space="preserve">   </w:t>
            </w:r>
          </w:p>
          <w:p>
            <w:pPr>
              <w:pStyle w:val="null3"/>
              <w:ind w:firstLine="356"/>
              <w:jc w:val="both"/>
            </w:pPr>
            <w:r>
              <w:rPr>
                <w:rFonts w:ascii="仿宋_GB2312" w:hAnsi="仿宋_GB2312" w:cs="仿宋_GB2312" w:eastAsia="仿宋_GB2312"/>
                <w:sz w:val="20"/>
              </w:rPr>
              <w:t>（</w:t>
            </w:r>
            <w:r>
              <w:rPr>
                <w:rFonts w:ascii="仿宋_GB2312" w:hAnsi="仿宋_GB2312" w:cs="仿宋_GB2312" w:eastAsia="仿宋_GB2312"/>
                <w:sz w:val="20"/>
              </w:rPr>
              <w:t xml:space="preserve">3）技术规范书  </w:t>
            </w:r>
          </w:p>
          <w:p>
            <w:pPr>
              <w:pStyle w:val="null3"/>
              <w:ind w:firstLine="356"/>
              <w:jc w:val="both"/>
            </w:pPr>
            <w:r>
              <w:rPr>
                <w:rFonts w:ascii="仿宋_GB2312" w:hAnsi="仿宋_GB2312" w:cs="仿宋_GB2312" w:eastAsia="仿宋_GB2312"/>
                <w:sz w:val="20"/>
              </w:rPr>
              <w:t>需包括：</w:t>
            </w:r>
            <w:r>
              <w:rPr>
                <w:rFonts w:ascii="仿宋_GB2312" w:hAnsi="仿宋_GB2312" w:cs="仿宋_GB2312" w:eastAsia="仿宋_GB2312"/>
                <w:sz w:val="20"/>
              </w:rPr>
              <w:t>设备采购技术参数（如检测精度、防护等级、接口协议）</w:t>
            </w:r>
            <w:r>
              <w:rPr>
                <w:rFonts w:ascii="仿宋_GB2312" w:hAnsi="仿宋_GB2312" w:cs="仿宋_GB2312" w:eastAsia="仿宋_GB2312"/>
                <w:sz w:val="20"/>
              </w:rPr>
              <w:t>等内容</w:t>
            </w:r>
            <w:r>
              <w:rPr>
                <w:rFonts w:ascii="仿宋_GB2312" w:hAnsi="仿宋_GB2312" w:cs="仿宋_GB2312" w:eastAsia="仿宋_GB2312"/>
                <w:sz w:val="20"/>
              </w:rPr>
              <w:t>。</w:t>
            </w:r>
          </w:p>
          <w:p>
            <w:pPr>
              <w:pStyle w:val="null3"/>
              <w:ind w:firstLine="356"/>
              <w:jc w:val="both"/>
            </w:pPr>
            <w:r>
              <w:rPr>
                <w:rFonts w:ascii="仿宋_GB2312" w:hAnsi="仿宋_GB2312" w:cs="仿宋_GB2312" w:eastAsia="仿宋_GB2312"/>
                <w:sz w:val="20"/>
              </w:rPr>
              <w:t>施工工艺要求（如混凝土强度、防雷接地电阻</w:t>
            </w:r>
            <w:r>
              <w:rPr>
                <w:rFonts w:ascii="仿宋_GB2312" w:hAnsi="仿宋_GB2312" w:cs="仿宋_GB2312" w:eastAsia="仿宋_GB2312"/>
                <w:sz w:val="20"/>
              </w:rPr>
              <w:t>大小</w:t>
            </w:r>
            <w:r>
              <w:rPr>
                <w:rFonts w:ascii="仿宋_GB2312" w:hAnsi="仿宋_GB2312" w:cs="仿宋_GB2312" w:eastAsia="仿宋_GB2312"/>
                <w:sz w:val="20"/>
              </w:rPr>
              <w:t>）</w:t>
            </w:r>
            <w:r>
              <w:rPr>
                <w:rFonts w:ascii="仿宋_GB2312" w:hAnsi="仿宋_GB2312" w:cs="仿宋_GB2312" w:eastAsia="仿宋_GB2312"/>
                <w:sz w:val="20"/>
              </w:rPr>
              <w:t>等内容</w:t>
            </w:r>
            <w:r>
              <w:rPr>
                <w:rFonts w:ascii="仿宋_GB2312" w:hAnsi="仿宋_GB2312" w:cs="仿宋_GB2312" w:eastAsia="仿宋_GB2312"/>
                <w:sz w:val="20"/>
              </w:rPr>
              <w:t>。</w:t>
            </w:r>
            <w:r>
              <w:rPr>
                <w:rFonts w:ascii="仿宋_GB2312" w:hAnsi="仿宋_GB2312" w:cs="仿宋_GB2312" w:eastAsia="仿宋_GB2312"/>
                <w:sz w:val="20"/>
              </w:rPr>
              <w:t xml:space="preserve">  </w:t>
            </w:r>
          </w:p>
          <w:p>
            <w:pPr>
              <w:pStyle w:val="null3"/>
              <w:ind w:firstLine="358"/>
              <w:jc w:val="both"/>
            </w:pPr>
            <w:r>
              <w:rPr>
                <w:rFonts w:ascii="仿宋_GB2312" w:hAnsi="仿宋_GB2312" w:cs="仿宋_GB2312" w:eastAsia="仿宋_GB2312"/>
                <w:sz w:val="20"/>
                <w:b/>
              </w:rPr>
              <w:t>4</w:t>
            </w:r>
            <w:r>
              <w:rPr>
                <w:rFonts w:ascii="仿宋_GB2312" w:hAnsi="仿宋_GB2312" w:cs="仿宋_GB2312" w:eastAsia="仿宋_GB2312"/>
                <w:sz w:val="20"/>
                <w:b/>
              </w:rPr>
              <w:t xml:space="preserve">. 后续技术服务  </w:t>
            </w:r>
          </w:p>
          <w:p>
            <w:pPr>
              <w:pStyle w:val="null3"/>
              <w:ind w:firstLine="356"/>
              <w:jc w:val="both"/>
            </w:pPr>
            <w:r>
              <w:rPr>
                <w:rFonts w:ascii="仿宋_GB2312" w:hAnsi="仿宋_GB2312" w:cs="仿宋_GB2312" w:eastAsia="仿宋_GB2312"/>
                <w:sz w:val="20"/>
              </w:rPr>
              <w:t>配合施工图审查，根据专家意见修改完善施工图设计文件。</w:t>
            </w:r>
          </w:p>
          <w:p>
            <w:pPr>
              <w:pStyle w:val="null3"/>
              <w:ind w:firstLine="356"/>
              <w:jc w:val="both"/>
            </w:pPr>
            <w:r>
              <w:rPr>
                <w:rFonts w:ascii="仿宋_GB2312" w:hAnsi="仿宋_GB2312" w:cs="仿宋_GB2312" w:eastAsia="仿宋_GB2312"/>
                <w:sz w:val="20"/>
              </w:rPr>
              <w:t>同时，</w:t>
            </w:r>
            <w:r>
              <w:rPr>
                <w:rFonts w:ascii="仿宋_GB2312" w:hAnsi="仿宋_GB2312" w:cs="仿宋_GB2312" w:eastAsia="仿宋_GB2312"/>
                <w:sz w:val="20"/>
              </w:rPr>
              <w:t>在本工程的施工期内，</w:t>
            </w:r>
            <w:r>
              <w:rPr>
                <w:rFonts w:ascii="仿宋_GB2312" w:hAnsi="仿宋_GB2312" w:cs="仿宋_GB2312" w:eastAsia="仿宋_GB2312"/>
                <w:sz w:val="20"/>
              </w:rPr>
              <w:t>需配合完成：</w:t>
            </w:r>
            <w:r>
              <w:rPr>
                <w:rFonts w:ascii="仿宋_GB2312" w:hAnsi="仿宋_GB2312" w:cs="仿宋_GB2312" w:eastAsia="仿宋_GB2312"/>
                <w:sz w:val="21"/>
              </w:rPr>
              <w:t xml:space="preserve">  </w:t>
            </w:r>
          </w:p>
          <w:p>
            <w:pPr>
              <w:pStyle w:val="null3"/>
              <w:ind w:firstLine="356"/>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积极配合</w:t>
            </w:r>
            <w:r>
              <w:rPr>
                <w:rFonts w:ascii="仿宋_GB2312" w:hAnsi="仿宋_GB2312" w:cs="仿宋_GB2312" w:eastAsia="仿宋_GB2312"/>
                <w:sz w:val="20"/>
              </w:rPr>
              <w:t>采购人</w:t>
            </w:r>
            <w:r>
              <w:rPr>
                <w:rFonts w:ascii="仿宋_GB2312" w:hAnsi="仿宋_GB2312" w:cs="仿宋_GB2312" w:eastAsia="仿宋_GB2312"/>
                <w:sz w:val="20"/>
              </w:rPr>
              <w:t>进行各项施工招标工作，按</w:t>
            </w:r>
            <w:r>
              <w:rPr>
                <w:rFonts w:ascii="仿宋_GB2312" w:hAnsi="仿宋_GB2312" w:cs="仿宋_GB2312" w:eastAsia="仿宋_GB2312"/>
                <w:sz w:val="20"/>
              </w:rPr>
              <w:t>采购人</w:t>
            </w:r>
            <w:r>
              <w:rPr>
                <w:rFonts w:ascii="仿宋_GB2312" w:hAnsi="仿宋_GB2312" w:cs="仿宋_GB2312" w:eastAsia="仿宋_GB2312"/>
                <w:sz w:val="20"/>
              </w:rPr>
              <w:t>规定时间提供本合同段施工招标所需的工程数量和工程说明；</w:t>
            </w:r>
          </w:p>
          <w:p>
            <w:pPr>
              <w:pStyle w:val="null3"/>
              <w:ind w:firstLine="356"/>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按</w:t>
            </w:r>
            <w:r>
              <w:rPr>
                <w:rFonts w:ascii="仿宋_GB2312" w:hAnsi="仿宋_GB2312" w:cs="仿宋_GB2312" w:eastAsia="仿宋_GB2312"/>
                <w:sz w:val="20"/>
              </w:rPr>
              <w:t>采购人</w:t>
            </w:r>
            <w:r>
              <w:rPr>
                <w:rFonts w:ascii="仿宋_GB2312" w:hAnsi="仿宋_GB2312" w:cs="仿宋_GB2312" w:eastAsia="仿宋_GB2312"/>
                <w:sz w:val="20"/>
              </w:rPr>
              <w:t>规定的时间提供本合同段的施工招标文件；</w:t>
            </w:r>
          </w:p>
          <w:p>
            <w:pPr>
              <w:pStyle w:val="null3"/>
              <w:ind w:firstLine="356"/>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按</w:t>
            </w:r>
            <w:r>
              <w:rPr>
                <w:rFonts w:ascii="仿宋_GB2312" w:hAnsi="仿宋_GB2312" w:cs="仿宋_GB2312" w:eastAsia="仿宋_GB2312"/>
                <w:sz w:val="20"/>
              </w:rPr>
              <w:t>采购人</w:t>
            </w:r>
            <w:r>
              <w:rPr>
                <w:rFonts w:ascii="仿宋_GB2312" w:hAnsi="仿宋_GB2312" w:cs="仿宋_GB2312" w:eastAsia="仿宋_GB2312"/>
                <w:sz w:val="20"/>
              </w:rPr>
              <w:t>要求</w:t>
            </w:r>
            <w:r>
              <w:rPr>
                <w:rFonts w:ascii="仿宋_GB2312" w:hAnsi="仿宋_GB2312" w:cs="仿宋_GB2312" w:eastAsia="仿宋_GB2312"/>
                <w:sz w:val="20"/>
              </w:rPr>
              <w:t>指</w:t>
            </w:r>
            <w:r>
              <w:rPr>
                <w:rFonts w:ascii="仿宋_GB2312" w:hAnsi="仿宋_GB2312" w:cs="仿宋_GB2312" w:eastAsia="仿宋_GB2312"/>
                <w:sz w:val="20"/>
              </w:rPr>
              <w:t>派</w:t>
            </w:r>
            <w:r>
              <w:rPr>
                <w:rFonts w:ascii="仿宋_GB2312" w:hAnsi="仿宋_GB2312" w:cs="仿宋_GB2312" w:eastAsia="仿宋_GB2312"/>
                <w:sz w:val="20"/>
              </w:rPr>
              <w:t>工作</w:t>
            </w:r>
            <w:r>
              <w:rPr>
                <w:rFonts w:ascii="仿宋_GB2312" w:hAnsi="仿宋_GB2312" w:cs="仿宋_GB2312" w:eastAsia="仿宋_GB2312"/>
                <w:sz w:val="20"/>
              </w:rPr>
              <w:t>人员参加施工招标标前会议，就有关问题进行答疑。</w:t>
            </w:r>
          </w:p>
          <w:p>
            <w:pPr>
              <w:pStyle w:val="null3"/>
              <w:ind w:firstLine="356"/>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参与技术交底，解答施工单位疑问。</w:t>
            </w:r>
          </w:p>
          <w:p>
            <w:pPr>
              <w:pStyle w:val="null3"/>
              <w:ind w:firstLine="356"/>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处理施工过程中的设计变更，确保变更方案符合规范要求。</w:t>
            </w:r>
            <w:r>
              <w:rPr>
                <w:rFonts w:ascii="仿宋_GB2312" w:hAnsi="仿宋_GB2312" w:cs="仿宋_GB2312" w:eastAsia="仿宋_GB2312"/>
                <w:sz w:val="20"/>
              </w:rPr>
              <w:t xml:space="preserve">  </w:t>
            </w:r>
          </w:p>
          <w:p>
            <w:pPr>
              <w:pStyle w:val="null3"/>
              <w:ind w:firstLine="356"/>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提供竣工验收支持，编制竣工图并归档。</w:t>
            </w:r>
            <w:r>
              <w:rPr>
                <w:rFonts w:ascii="仿宋_GB2312" w:hAnsi="仿宋_GB2312" w:cs="仿宋_GB2312" w:eastAsia="仿宋_GB2312"/>
                <w:sz w:val="20"/>
              </w:rPr>
              <w:t xml:space="preserve">  </w:t>
            </w:r>
          </w:p>
          <w:p>
            <w:pPr>
              <w:pStyle w:val="null3"/>
              <w:ind w:firstLine="358"/>
              <w:jc w:val="both"/>
            </w:pPr>
            <w:r>
              <w:rPr>
                <w:rFonts w:ascii="仿宋_GB2312" w:hAnsi="仿宋_GB2312" w:cs="仿宋_GB2312" w:eastAsia="仿宋_GB2312"/>
                <w:sz w:val="20"/>
                <w:b/>
              </w:rPr>
              <w:t>三、服务要求</w:t>
            </w:r>
          </w:p>
          <w:p>
            <w:pPr>
              <w:pStyle w:val="null3"/>
              <w:ind w:firstLine="358"/>
              <w:jc w:val="both"/>
            </w:pPr>
            <w:r>
              <w:rPr>
                <w:rFonts w:ascii="仿宋_GB2312" w:hAnsi="仿宋_GB2312" w:cs="仿宋_GB2312" w:eastAsia="仿宋_GB2312"/>
                <w:sz w:val="20"/>
                <w:b/>
              </w:rPr>
              <w:t>（一）设计依据与标准</w:t>
            </w:r>
            <w:r>
              <w:rPr>
                <w:rFonts w:ascii="仿宋_GB2312" w:hAnsi="仿宋_GB2312" w:cs="仿宋_GB2312" w:eastAsia="仿宋_GB2312"/>
                <w:sz w:val="20"/>
                <w:b/>
              </w:rPr>
              <w:t xml:space="preserve">  </w:t>
            </w:r>
          </w:p>
          <w:p>
            <w:pPr>
              <w:pStyle w:val="null3"/>
              <w:ind w:firstLine="356"/>
              <w:jc w:val="both"/>
            </w:pPr>
            <w:r>
              <w:rPr>
                <w:rFonts w:ascii="仿宋_GB2312" w:hAnsi="仿宋_GB2312" w:cs="仿宋_GB2312" w:eastAsia="仿宋_GB2312"/>
                <w:sz w:val="20"/>
              </w:rPr>
              <w:t>施工图</w:t>
            </w:r>
            <w:r>
              <w:rPr>
                <w:rFonts w:ascii="仿宋_GB2312" w:hAnsi="仿宋_GB2312" w:cs="仿宋_GB2312" w:eastAsia="仿宋_GB2312"/>
                <w:sz w:val="20"/>
              </w:rPr>
              <w:t>设计</w:t>
            </w:r>
            <w:r>
              <w:rPr>
                <w:rFonts w:ascii="仿宋_GB2312" w:hAnsi="仿宋_GB2312" w:cs="仿宋_GB2312" w:eastAsia="仿宋_GB2312"/>
                <w:sz w:val="20"/>
              </w:rPr>
              <w:t>单位</w:t>
            </w:r>
            <w:r>
              <w:rPr>
                <w:rFonts w:ascii="仿宋_GB2312" w:hAnsi="仿宋_GB2312" w:cs="仿宋_GB2312" w:eastAsia="仿宋_GB2312"/>
                <w:sz w:val="20"/>
              </w:rPr>
              <w:t>在设计工作中必须使用中华人民共和国《工程建设标准强制性条文》（公路工程部分）和下述标准、规范（包含但不限于）：</w:t>
            </w:r>
          </w:p>
          <w:p>
            <w:pPr>
              <w:pStyle w:val="null3"/>
              <w:ind w:firstLine="534"/>
              <w:jc w:val="both"/>
            </w:pPr>
            <w:r>
              <w:rPr>
                <w:rFonts w:ascii="仿宋_GB2312" w:hAnsi="仿宋_GB2312" w:cs="仿宋_GB2312" w:eastAsia="仿宋_GB2312"/>
                <w:sz w:val="20"/>
              </w:rPr>
              <w:t>1.</w:t>
            </w:r>
            <w:r>
              <w:rPr>
                <w:rFonts w:ascii="仿宋_GB2312" w:hAnsi="仿宋_GB2312" w:cs="仿宋_GB2312" w:eastAsia="仿宋_GB2312"/>
                <w:sz w:val="20"/>
              </w:rPr>
              <w:t>《公路工程技术标准》（</w:t>
            </w:r>
            <w:r>
              <w:rPr>
                <w:rFonts w:ascii="仿宋_GB2312" w:hAnsi="仿宋_GB2312" w:cs="仿宋_GB2312" w:eastAsia="仿宋_GB2312"/>
                <w:sz w:val="20"/>
              </w:rPr>
              <w:t xml:space="preserve">JTG B01-2014）；  </w:t>
            </w:r>
          </w:p>
          <w:p>
            <w:pPr>
              <w:pStyle w:val="null3"/>
              <w:ind w:firstLine="552"/>
              <w:jc w:val="both"/>
            </w:pPr>
            <w:r>
              <w:rPr>
                <w:rFonts w:ascii="仿宋_GB2312" w:hAnsi="仿宋_GB2312" w:cs="仿宋_GB2312" w:eastAsia="仿宋_GB2312"/>
                <w:sz w:val="20"/>
              </w:rPr>
              <w:t>2.</w:t>
            </w:r>
            <w:r>
              <w:rPr>
                <w:rFonts w:ascii="仿宋_GB2312" w:hAnsi="仿宋_GB2312" w:cs="仿宋_GB2312" w:eastAsia="仿宋_GB2312"/>
                <w:sz w:val="20"/>
              </w:rPr>
              <w:t>《公路交通安全设施设计规范》（</w:t>
            </w:r>
            <w:r>
              <w:rPr>
                <w:rFonts w:ascii="仿宋_GB2312" w:hAnsi="仿宋_GB2312" w:cs="仿宋_GB2312" w:eastAsia="仿宋_GB2312"/>
                <w:sz w:val="20"/>
              </w:rPr>
              <w:t>JTG D81-2017）；</w:t>
            </w:r>
          </w:p>
          <w:p>
            <w:pPr>
              <w:pStyle w:val="null3"/>
              <w:ind w:firstLine="552"/>
              <w:jc w:val="both"/>
            </w:pPr>
            <w:r>
              <w:rPr>
                <w:rFonts w:ascii="仿宋_GB2312" w:hAnsi="仿宋_GB2312" w:cs="仿宋_GB2312" w:eastAsia="仿宋_GB2312"/>
                <w:sz w:val="20"/>
              </w:rPr>
              <w:t>3.</w:t>
            </w:r>
            <w:r>
              <w:rPr>
                <w:rFonts w:ascii="仿宋_GB2312" w:hAnsi="仿宋_GB2312" w:cs="仿宋_GB2312" w:eastAsia="仿宋_GB2312"/>
                <w:sz w:val="20"/>
              </w:rPr>
              <w:t>《机动车号牌自动识别系统》（</w:t>
            </w:r>
            <w:r>
              <w:rPr>
                <w:rFonts w:ascii="仿宋_GB2312" w:hAnsi="仿宋_GB2312" w:cs="仿宋_GB2312" w:eastAsia="仿宋_GB2312"/>
                <w:sz w:val="20"/>
              </w:rPr>
              <w:t>GB/T28649-2012</w:t>
            </w:r>
            <w:r>
              <w:rPr>
                <w:rFonts w:ascii="仿宋_GB2312" w:hAnsi="仿宋_GB2312" w:cs="仿宋_GB2312" w:eastAsia="仿宋_GB2312"/>
                <w:sz w:val="20"/>
              </w:rPr>
              <w:t>）；</w:t>
            </w:r>
          </w:p>
          <w:p>
            <w:pPr>
              <w:pStyle w:val="null3"/>
              <w:ind w:firstLine="552"/>
              <w:jc w:val="both"/>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《公路机电系统设备通用技术要求及监测方法》（</w:t>
            </w:r>
            <w:r>
              <w:rPr>
                <w:rFonts w:ascii="仿宋_GB2312" w:hAnsi="仿宋_GB2312" w:cs="仿宋_GB2312" w:eastAsia="仿宋_GB2312"/>
                <w:sz w:val="20"/>
              </w:rPr>
              <w:t>JT/T 817</w:t>
            </w:r>
            <w:r>
              <w:rPr>
                <w:rFonts w:ascii="仿宋_GB2312" w:hAnsi="仿宋_GB2312" w:cs="仿宋_GB2312" w:eastAsia="仿宋_GB2312"/>
                <w:sz w:val="20"/>
              </w:rPr>
              <w:t>）；</w:t>
            </w:r>
          </w:p>
          <w:p>
            <w:pPr>
              <w:pStyle w:val="null3"/>
              <w:ind w:firstLine="552"/>
              <w:jc w:val="both"/>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《交通技术监控成像补光装置通用技术条件》（</w:t>
            </w:r>
            <w:r>
              <w:rPr>
                <w:rFonts w:ascii="仿宋_GB2312" w:hAnsi="仿宋_GB2312" w:cs="仿宋_GB2312" w:eastAsia="仿宋_GB2312"/>
                <w:sz w:val="20"/>
              </w:rPr>
              <w:t>GA/T 1202-2014）；</w:t>
            </w:r>
          </w:p>
          <w:p>
            <w:pPr>
              <w:pStyle w:val="null3"/>
              <w:ind w:firstLine="552"/>
              <w:jc w:val="both"/>
            </w:pP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《全国公路网管理与应急处置平台建设指导意见》（交通运输部）；</w:t>
            </w:r>
          </w:p>
          <w:p>
            <w:pPr>
              <w:pStyle w:val="null3"/>
              <w:ind w:firstLine="552"/>
              <w:jc w:val="both"/>
            </w:pP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《公路网运行监测与服务暂行技术要求》（交通运输部</w:t>
            </w:r>
            <w:r>
              <w:rPr>
                <w:rFonts w:ascii="仿宋_GB2312" w:hAnsi="仿宋_GB2312" w:cs="仿宋_GB2312" w:eastAsia="仿宋_GB2312"/>
                <w:sz w:val="20"/>
              </w:rPr>
              <w:t>[2012]3号）；</w:t>
            </w:r>
          </w:p>
          <w:p>
            <w:pPr>
              <w:pStyle w:val="null3"/>
              <w:ind w:firstLine="552"/>
              <w:jc w:val="both"/>
            </w:pP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《公路交通情况统计调查标志设置要求》（交规信函</w:t>
            </w:r>
            <w:r>
              <w:rPr>
                <w:rFonts w:ascii="仿宋_GB2312" w:hAnsi="仿宋_GB2312" w:cs="仿宋_GB2312" w:eastAsia="仿宋_GB2312"/>
                <w:sz w:val="20"/>
              </w:rPr>
              <w:t>[2017]28号）；</w:t>
            </w:r>
          </w:p>
          <w:p>
            <w:pPr>
              <w:pStyle w:val="null3"/>
              <w:ind w:firstLine="552"/>
              <w:jc w:val="both"/>
            </w:pP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《公路网图像信息管理系统平台互联技术规范》（</w:t>
            </w:r>
            <w:r>
              <w:rPr>
                <w:rFonts w:ascii="仿宋_GB2312" w:hAnsi="仿宋_GB2312" w:cs="仿宋_GB2312" w:eastAsia="仿宋_GB2312"/>
                <w:sz w:val="20"/>
              </w:rPr>
              <w:t>GB/T 28059-20</w:t>
            </w:r>
            <w:r>
              <w:rPr>
                <w:rFonts w:ascii="仿宋_GB2312" w:hAnsi="仿宋_GB2312" w:cs="仿宋_GB2312" w:eastAsia="仿宋_GB2312"/>
                <w:sz w:val="20"/>
              </w:rPr>
              <w:t>23</w:t>
            </w:r>
            <w:r>
              <w:rPr>
                <w:rFonts w:ascii="仿宋_GB2312" w:hAnsi="仿宋_GB2312" w:cs="仿宋_GB2312" w:eastAsia="仿宋_GB2312"/>
                <w:sz w:val="20"/>
              </w:rPr>
              <w:t>）；</w:t>
            </w:r>
          </w:p>
          <w:p>
            <w:pPr>
              <w:pStyle w:val="null3"/>
              <w:ind w:firstLine="552"/>
              <w:jc w:val="both"/>
            </w:pPr>
            <w:r>
              <w:rPr>
                <w:rFonts w:ascii="仿宋_GB2312" w:hAnsi="仿宋_GB2312" w:cs="仿宋_GB2312" w:eastAsia="仿宋_GB2312"/>
                <w:sz w:val="20"/>
              </w:rPr>
              <w:t>1</w:t>
            </w:r>
            <w:r>
              <w:rPr>
                <w:rFonts w:ascii="仿宋_GB2312" w:hAnsi="仿宋_GB2312" w:cs="仿宋_GB2312" w:eastAsia="仿宋_GB2312"/>
                <w:sz w:val="20"/>
              </w:rPr>
              <w:t>0</w:t>
            </w:r>
            <w:r>
              <w:rPr>
                <w:rFonts w:ascii="仿宋_GB2312" w:hAnsi="仿宋_GB2312" w:cs="仿宋_GB2312" w:eastAsia="仿宋_GB2312"/>
                <w:sz w:val="20"/>
              </w:rPr>
              <w:t>.</w:t>
            </w:r>
            <w:r>
              <w:rPr>
                <w:rFonts w:ascii="仿宋_GB2312" w:hAnsi="仿宋_GB2312" w:cs="仿宋_GB2312" w:eastAsia="仿宋_GB2312"/>
                <w:sz w:val="20"/>
              </w:rPr>
              <w:t>《公路交通情况调查设备</w:t>
            </w:r>
            <w:r>
              <w:rPr>
                <w:rFonts w:ascii="仿宋_GB2312" w:hAnsi="仿宋_GB2312" w:cs="仿宋_GB2312" w:eastAsia="仿宋_GB2312"/>
                <w:sz w:val="20"/>
              </w:rPr>
              <w:t>第</w:t>
            </w:r>
            <w:r>
              <w:rPr>
                <w:rFonts w:ascii="仿宋_GB2312" w:hAnsi="仿宋_GB2312" w:cs="仿宋_GB2312" w:eastAsia="仿宋_GB2312"/>
                <w:sz w:val="20"/>
              </w:rPr>
              <w:t>1部分：技术条件》（JT/T1008.1-2015）；</w:t>
            </w:r>
          </w:p>
          <w:p>
            <w:pPr>
              <w:pStyle w:val="null3"/>
              <w:ind w:firstLine="552"/>
              <w:jc w:val="both"/>
            </w:pPr>
            <w:r>
              <w:rPr>
                <w:rFonts w:ascii="仿宋_GB2312" w:hAnsi="仿宋_GB2312" w:cs="仿宋_GB2312" w:eastAsia="仿宋_GB2312"/>
                <w:sz w:val="20"/>
              </w:rPr>
              <w:t>1</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《公路交通情况调查设备</w:t>
            </w:r>
            <w:r>
              <w:rPr>
                <w:rFonts w:ascii="仿宋_GB2312" w:hAnsi="仿宋_GB2312" w:cs="仿宋_GB2312" w:eastAsia="仿宋_GB2312"/>
                <w:sz w:val="20"/>
              </w:rPr>
              <w:t>第</w:t>
            </w:r>
            <w:r>
              <w:rPr>
                <w:rFonts w:ascii="仿宋_GB2312" w:hAnsi="仿宋_GB2312" w:cs="仿宋_GB2312" w:eastAsia="仿宋_GB2312"/>
                <w:sz w:val="20"/>
              </w:rPr>
              <w:t>2部分：通信协议》（JT/T1008.2-2015）；</w:t>
            </w:r>
          </w:p>
          <w:p>
            <w:pPr>
              <w:pStyle w:val="null3"/>
              <w:ind w:firstLine="552"/>
              <w:jc w:val="both"/>
            </w:pPr>
            <w:r>
              <w:rPr>
                <w:rFonts w:ascii="仿宋_GB2312" w:hAnsi="仿宋_GB2312" w:cs="仿宋_GB2312" w:eastAsia="仿宋_GB2312"/>
                <w:sz w:val="20"/>
              </w:rPr>
              <w:t>1</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《道路交通技术监控设备运行维护规范》（</w:t>
            </w:r>
            <w:r>
              <w:rPr>
                <w:rFonts w:ascii="仿宋_GB2312" w:hAnsi="仿宋_GB2312" w:cs="仿宋_GB2312" w:eastAsia="仿宋_GB2312"/>
                <w:sz w:val="20"/>
              </w:rPr>
              <w:t>GA/T 1043-2013</w:t>
            </w:r>
            <w:r>
              <w:rPr>
                <w:rFonts w:ascii="仿宋_GB2312" w:hAnsi="仿宋_GB2312" w:cs="仿宋_GB2312" w:eastAsia="仿宋_GB2312"/>
                <w:sz w:val="20"/>
              </w:rPr>
              <w:t>）；</w:t>
            </w:r>
          </w:p>
          <w:p>
            <w:pPr>
              <w:pStyle w:val="null3"/>
              <w:ind w:firstLine="552"/>
              <w:jc w:val="both"/>
            </w:pPr>
            <w:r>
              <w:rPr>
                <w:rFonts w:ascii="仿宋_GB2312" w:hAnsi="仿宋_GB2312" w:cs="仿宋_GB2312" w:eastAsia="仿宋_GB2312"/>
                <w:sz w:val="20"/>
              </w:rPr>
              <w:t>1</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交通运输部《</w:t>
            </w:r>
            <w:r>
              <w:rPr>
                <w:rFonts w:ascii="仿宋_GB2312" w:hAnsi="仿宋_GB2312" w:cs="仿宋_GB2312" w:eastAsia="仿宋_GB2312"/>
                <w:sz w:val="20"/>
              </w:rPr>
              <w:t>普通国省道多功能交通调查站布局和建设方案</w:t>
            </w:r>
            <w:r>
              <w:rPr>
                <w:rFonts w:ascii="仿宋_GB2312" w:hAnsi="仿宋_GB2312" w:cs="仿宋_GB2312" w:eastAsia="仿宋_GB2312"/>
                <w:sz w:val="20"/>
              </w:rPr>
              <w:t>》；</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0"/>
              </w:rPr>
              <w:t>1</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《陕西省公路交通工程设计与施工技术指南》（</w:t>
            </w:r>
            <w:r>
              <w:rPr>
                <w:rFonts w:ascii="仿宋_GB2312" w:hAnsi="仿宋_GB2312" w:cs="仿宋_GB2312" w:eastAsia="仿宋_GB2312"/>
                <w:sz w:val="20"/>
              </w:rPr>
              <w:t>2021版）</w:t>
            </w:r>
            <w:r>
              <w:rPr>
                <w:rFonts w:ascii="仿宋_GB2312" w:hAnsi="仿宋_GB2312" w:cs="仿宋_GB2312" w:eastAsia="仿宋_GB2312"/>
                <w:sz w:val="20"/>
              </w:rPr>
              <w:t>；</w:t>
            </w:r>
            <w:r>
              <w:rPr>
                <w:rFonts w:ascii="仿宋_GB2312" w:hAnsi="仿宋_GB2312" w:cs="仿宋_GB2312" w:eastAsia="仿宋_GB2312"/>
                <w:sz w:val="21"/>
              </w:rPr>
              <w:t xml:space="preserve"> </w:t>
            </w:r>
          </w:p>
          <w:p>
            <w:pPr>
              <w:pStyle w:val="null3"/>
              <w:ind w:firstLine="552"/>
              <w:jc w:val="both"/>
            </w:pPr>
            <w:r>
              <w:rPr>
                <w:rFonts w:ascii="仿宋_GB2312" w:hAnsi="仿宋_GB2312" w:cs="仿宋_GB2312" w:eastAsia="仿宋_GB2312"/>
                <w:sz w:val="20"/>
              </w:rPr>
              <w:t>1</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《低压配电设计规范》（</w:t>
            </w:r>
            <w:r>
              <w:rPr>
                <w:rFonts w:ascii="仿宋_GB2312" w:hAnsi="仿宋_GB2312" w:cs="仿宋_GB2312" w:eastAsia="仿宋_GB2312"/>
                <w:sz w:val="20"/>
              </w:rPr>
              <w:t>GB50054-2011）；</w:t>
            </w:r>
          </w:p>
          <w:p>
            <w:pPr>
              <w:pStyle w:val="null3"/>
              <w:ind w:firstLine="552"/>
              <w:jc w:val="both"/>
            </w:pPr>
            <w:r>
              <w:rPr>
                <w:rFonts w:ascii="仿宋_GB2312" w:hAnsi="仿宋_GB2312" w:cs="仿宋_GB2312" w:eastAsia="仿宋_GB2312"/>
                <w:sz w:val="20"/>
              </w:rPr>
              <w:t>1</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《供配电系统设计规范》（</w:t>
            </w:r>
            <w:r>
              <w:rPr>
                <w:rFonts w:ascii="仿宋_GB2312" w:hAnsi="仿宋_GB2312" w:cs="仿宋_GB2312" w:eastAsia="仿宋_GB2312"/>
                <w:sz w:val="20"/>
              </w:rPr>
              <w:t>GB50052-2009）；</w:t>
            </w:r>
          </w:p>
          <w:p>
            <w:pPr>
              <w:pStyle w:val="null3"/>
              <w:ind w:firstLine="552"/>
              <w:jc w:val="both"/>
            </w:pPr>
            <w:r>
              <w:rPr>
                <w:rFonts w:ascii="仿宋_GB2312" w:hAnsi="仿宋_GB2312" w:cs="仿宋_GB2312" w:eastAsia="仿宋_GB2312"/>
                <w:sz w:val="20"/>
              </w:rPr>
              <w:t>1</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《电力工程电缆设计规范》（</w:t>
            </w:r>
            <w:r>
              <w:rPr>
                <w:rFonts w:ascii="仿宋_GB2312" w:hAnsi="仿宋_GB2312" w:cs="仿宋_GB2312" w:eastAsia="仿宋_GB2312"/>
                <w:sz w:val="20"/>
              </w:rPr>
              <w:t>GB50217-2007）；</w:t>
            </w:r>
          </w:p>
          <w:p>
            <w:pPr>
              <w:pStyle w:val="null3"/>
              <w:ind w:firstLine="358"/>
              <w:jc w:val="both"/>
            </w:pPr>
            <w:r>
              <w:rPr>
                <w:rFonts w:ascii="仿宋_GB2312" w:hAnsi="仿宋_GB2312" w:cs="仿宋_GB2312" w:eastAsia="仿宋_GB2312"/>
                <w:sz w:val="20"/>
                <w:b/>
              </w:rPr>
              <w:t>（二）质量与进度控制</w:t>
            </w:r>
            <w:r>
              <w:rPr>
                <w:rFonts w:ascii="仿宋_GB2312" w:hAnsi="仿宋_GB2312" w:cs="仿宋_GB2312" w:eastAsia="仿宋_GB2312"/>
                <w:sz w:val="20"/>
                <w:b/>
              </w:rPr>
              <w:t xml:space="preserve">  </w:t>
            </w:r>
          </w:p>
          <w:p>
            <w:pPr>
              <w:pStyle w:val="null3"/>
              <w:ind w:firstLine="358"/>
              <w:jc w:val="both"/>
            </w:pPr>
            <w:r>
              <w:rPr>
                <w:rFonts w:ascii="仿宋_GB2312" w:hAnsi="仿宋_GB2312" w:cs="仿宋_GB2312" w:eastAsia="仿宋_GB2312"/>
                <w:sz w:val="20"/>
                <w:b/>
              </w:rPr>
              <w:t xml:space="preserve">1. 质量要求  </w:t>
            </w:r>
          </w:p>
          <w:p>
            <w:pPr>
              <w:pStyle w:val="null3"/>
              <w:ind w:firstLine="356"/>
              <w:jc w:val="left"/>
            </w:pPr>
            <w:r>
              <w:rPr>
                <w:rFonts w:ascii="仿宋_GB2312" w:hAnsi="仿宋_GB2312" w:cs="仿宋_GB2312" w:eastAsia="仿宋_GB2312"/>
                <w:sz w:val="20"/>
              </w:rPr>
              <w:t>施工图</w:t>
            </w:r>
            <w:r>
              <w:rPr>
                <w:rFonts w:ascii="仿宋_GB2312" w:hAnsi="仿宋_GB2312" w:cs="仿宋_GB2312" w:eastAsia="仿宋_GB2312"/>
                <w:sz w:val="20"/>
              </w:rPr>
              <w:t>设计文件需通过采购人组织的专家评审</w:t>
            </w:r>
            <w:r>
              <w:rPr>
                <w:rFonts w:ascii="仿宋_GB2312" w:hAnsi="仿宋_GB2312" w:cs="仿宋_GB2312" w:eastAsia="仿宋_GB2312"/>
                <w:sz w:val="20"/>
              </w:rPr>
              <w:t>、履约验收，并配合陕西省交通运输厅开展相关审查工作。</w:t>
            </w:r>
          </w:p>
          <w:p>
            <w:pPr>
              <w:pStyle w:val="null3"/>
              <w:ind w:firstLine="358"/>
              <w:jc w:val="both"/>
            </w:pPr>
            <w:r>
              <w:rPr>
                <w:rFonts w:ascii="仿宋_GB2312" w:hAnsi="仿宋_GB2312" w:cs="仿宋_GB2312" w:eastAsia="仿宋_GB2312"/>
                <w:sz w:val="20"/>
                <w:b/>
              </w:rPr>
              <w:t>2. 进度</w:t>
            </w:r>
            <w:r>
              <w:rPr>
                <w:rFonts w:ascii="仿宋_GB2312" w:hAnsi="仿宋_GB2312" w:cs="仿宋_GB2312" w:eastAsia="仿宋_GB2312"/>
                <w:sz w:val="20"/>
                <w:b/>
              </w:rPr>
              <w:t>要求</w:t>
            </w:r>
          </w:p>
          <w:p>
            <w:pPr>
              <w:pStyle w:val="null3"/>
              <w:ind w:firstLine="356"/>
              <w:jc w:val="both"/>
            </w:pPr>
            <w:r>
              <w:rPr>
                <w:rFonts w:ascii="仿宋_GB2312" w:hAnsi="仿宋_GB2312" w:cs="仿宋_GB2312" w:eastAsia="仿宋_GB2312"/>
                <w:sz w:val="20"/>
              </w:rPr>
              <w:t>设计周期</w:t>
            </w:r>
            <w:r>
              <w:rPr>
                <w:rFonts w:ascii="仿宋_GB2312" w:hAnsi="仿宋_GB2312" w:cs="仿宋_GB2312" w:eastAsia="仿宋_GB2312"/>
                <w:sz w:val="20"/>
              </w:rPr>
              <w:t>:</w:t>
            </w:r>
            <w:r>
              <w:rPr>
                <w:rFonts w:ascii="仿宋_GB2312" w:hAnsi="仿宋_GB2312" w:cs="仿宋_GB2312" w:eastAsia="仿宋_GB2312"/>
                <w:sz w:val="20"/>
              </w:rPr>
              <w:t>150</w:t>
            </w:r>
            <w:r>
              <w:rPr>
                <w:rFonts w:ascii="仿宋_GB2312" w:hAnsi="仿宋_GB2312" w:cs="仿宋_GB2312" w:eastAsia="仿宋_GB2312"/>
                <w:sz w:val="20"/>
              </w:rPr>
              <w:t>日历天</w:t>
            </w:r>
            <w:r>
              <w:rPr>
                <w:rFonts w:ascii="仿宋_GB2312" w:hAnsi="仿宋_GB2312" w:cs="仿宋_GB2312" w:eastAsia="仿宋_GB2312"/>
                <w:sz w:val="20"/>
              </w:rPr>
              <w:t>；</w:t>
            </w:r>
          </w:p>
          <w:p>
            <w:pPr>
              <w:pStyle w:val="null3"/>
              <w:ind w:firstLine="356"/>
              <w:jc w:val="both"/>
            </w:pPr>
            <w:r>
              <w:rPr>
                <w:rFonts w:ascii="仿宋_GB2312" w:hAnsi="仿宋_GB2312" w:cs="仿宋_GB2312" w:eastAsia="仿宋_GB2312"/>
                <w:sz w:val="20"/>
              </w:rPr>
              <w:t>供应商需如期完成陕西省普通干线公路交调站建设工程施工图设计及配套文件编制</w:t>
            </w:r>
            <w:r>
              <w:rPr>
                <w:rFonts w:ascii="仿宋_GB2312" w:hAnsi="仿宋_GB2312" w:cs="仿宋_GB2312" w:eastAsia="仿宋_GB2312"/>
                <w:sz w:val="20"/>
              </w:rPr>
              <w:t>。</w:t>
            </w:r>
          </w:p>
          <w:p>
            <w:pPr>
              <w:pStyle w:val="null3"/>
              <w:ind w:firstLine="552"/>
              <w:jc w:val="both"/>
            </w:pPr>
            <w:r>
              <w:rPr>
                <w:rFonts w:ascii="仿宋_GB2312" w:hAnsi="仿宋_GB2312" w:cs="仿宋_GB2312" w:eastAsia="仿宋_GB2312"/>
                <w:sz w:val="20"/>
              </w:rPr>
              <w:t>注：</w:t>
            </w:r>
            <w:r>
              <w:rPr>
                <w:rFonts w:ascii="仿宋_GB2312" w:hAnsi="仿宋_GB2312" w:cs="仿宋_GB2312" w:eastAsia="仿宋_GB2312"/>
                <w:sz w:val="20"/>
              </w:rPr>
              <w:t>设计质量终身责任制，缺陷期内免费修复。</w:t>
            </w:r>
            <w:r>
              <w:rPr>
                <w:rFonts w:ascii="仿宋_GB2312" w:hAnsi="仿宋_GB2312" w:cs="仿宋_GB2312" w:eastAsia="仿宋_GB2312"/>
                <w:sz w:val="20"/>
              </w:rPr>
              <w:t xml:space="preserve">   </w:t>
            </w:r>
          </w:p>
          <w:p>
            <w:pPr>
              <w:pStyle w:val="null3"/>
              <w:ind w:firstLine="358"/>
              <w:jc w:val="both"/>
            </w:pPr>
            <w:r>
              <w:rPr>
                <w:rFonts w:ascii="仿宋_GB2312" w:hAnsi="仿宋_GB2312" w:cs="仿宋_GB2312" w:eastAsia="仿宋_GB2312"/>
                <w:sz w:val="20"/>
                <w:b/>
              </w:rPr>
              <w:t>（</w:t>
            </w:r>
            <w:r>
              <w:rPr>
                <w:rFonts w:ascii="仿宋_GB2312" w:hAnsi="仿宋_GB2312" w:cs="仿宋_GB2312" w:eastAsia="仿宋_GB2312"/>
                <w:sz w:val="20"/>
                <w:b/>
              </w:rPr>
              <w:t>三</w:t>
            </w:r>
            <w:r>
              <w:rPr>
                <w:rFonts w:ascii="仿宋_GB2312" w:hAnsi="仿宋_GB2312" w:cs="仿宋_GB2312" w:eastAsia="仿宋_GB2312"/>
                <w:sz w:val="20"/>
                <w:b/>
              </w:rPr>
              <w:t>）数据安全与知识产权</w:t>
            </w:r>
            <w:r>
              <w:rPr>
                <w:rFonts w:ascii="仿宋_GB2312" w:hAnsi="仿宋_GB2312" w:cs="仿宋_GB2312" w:eastAsia="仿宋_GB2312"/>
                <w:sz w:val="20"/>
                <w:b/>
              </w:rPr>
              <w:t xml:space="preserve">  </w:t>
            </w:r>
          </w:p>
          <w:p>
            <w:pPr>
              <w:pStyle w:val="null3"/>
              <w:ind w:firstLine="358"/>
              <w:jc w:val="both"/>
            </w:pPr>
            <w:r>
              <w:rPr>
                <w:rFonts w:ascii="仿宋_GB2312" w:hAnsi="仿宋_GB2312" w:cs="仿宋_GB2312" w:eastAsia="仿宋_GB2312"/>
                <w:sz w:val="20"/>
                <w:b/>
              </w:rPr>
              <w:t>1.数据要求</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0"/>
              </w:rPr>
              <w:t>设计文件需加密存储，未经采购人书面同意不得向第三方泄露；设备数据接口协议应符合《交通运输信息系统数据交换标准》</w:t>
            </w:r>
            <w:r>
              <w:rPr>
                <w:rFonts w:ascii="仿宋_GB2312" w:hAnsi="仿宋_GB2312" w:cs="仿宋_GB2312" w:eastAsia="仿宋_GB2312"/>
                <w:sz w:val="20"/>
              </w:rPr>
              <w:t>要求</w:t>
            </w:r>
            <w:r>
              <w:rPr>
                <w:rFonts w:ascii="仿宋_GB2312" w:hAnsi="仿宋_GB2312" w:cs="仿宋_GB2312" w:eastAsia="仿宋_GB2312"/>
                <w:sz w:val="20"/>
              </w:rPr>
              <w:t>。</w:t>
            </w:r>
            <w:r>
              <w:rPr>
                <w:rFonts w:ascii="仿宋_GB2312" w:hAnsi="仿宋_GB2312" w:cs="仿宋_GB2312" w:eastAsia="仿宋_GB2312"/>
                <w:sz w:val="20"/>
              </w:rPr>
              <w:t xml:space="preserve">  </w:t>
            </w:r>
          </w:p>
          <w:p>
            <w:pPr>
              <w:pStyle w:val="null3"/>
              <w:ind w:firstLine="358"/>
              <w:jc w:val="both"/>
            </w:pPr>
            <w:r>
              <w:rPr>
                <w:rFonts w:ascii="仿宋_GB2312" w:hAnsi="仿宋_GB2312" w:cs="仿宋_GB2312" w:eastAsia="仿宋_GB2312"/>
                <w:sz w:val="20"/>
                <w:b/>
              </w:rPr>
              <w:t xml:space="preserve">2.知识产权  </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0"/>
              </w:rPr>
              <w:t>所有设计成果（含图纸、文档、软件）知识产权归采购人所有；</w:t>
            </w:r>
            <w:r>
              <w:rPr>
                <w:rFonts w:ascii="仿宋_GB2312" w:hAnsi="仿宋_GB2312" w:cs="仿宋_GB2312" w:eastAsia="仿宋_GB2312"/>
                <w:sz w:val="20"/>
              </w:rPr>
              <w:t>供应商</w:t>
            </w:r>
            <w:r>
              <w:rPr>
                <w:rFonts w:ascii="仿宋_GB2312" w:hAnsi="仿宋_GB2312" w:cs="仿宋_GB2312" w:eastAsia="仿宋_GB2312"/>
                <w:sz w:val="20"/>
              </w:rPr>
              <w:t>不得擅自用于其他项目。</w:t>
            </w:r>
            <w:r>
              <w:rPr>
                <w:rFonts w:ascii="仿宋_GB2312" w:hAnsi="仿宋_GB2312" w:cs="仿宋_GB2312" w:eastAsia="仿宋_GB2312"/>
                <w:sz w:val="20"/>
              </w:rPr>
              <w:t xml:space="preserve">  </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0"/>
                <w:b/>
              </w:rPr>
              <w:t>（</w:t>
            </w:r>
            <w:r>
              <w:rPr>
                <w:rFonts w:ascii="仿宋_GB2312" w:hAnsi="仿宋_GB2312" w:cs="仿宋_GB2312" w:eastAsia="仿宋_GB2312"/>
                <w:sz w:val="20"/>
                <w:b/>
              </w:rPr>
              <w:t>四</w:t>
            </w:r>
            <w:r>
              <w:rPr>
                <w:rFonts w:ascii="仿宋_GB2312" w:hAnsi="仿宋_GB2312" w:cs="仿宋_GB2312" w:eastAsia="仿宋_GB2312"/>
                <w:sz w:val="20"/>
                <w:b/>
              </w:rPr>
              <w:t>）交付成果</w:t>
            </w:r>
            <w:r>
              <w:rPr>
                <w:rFonts w:ascii="仿宋_GB2312" w:hAnsi="仿宋_GB2312" w:cs="仿宋_GB2312" w:eastAsia="仿宋_GB2312"/>
                <w:sz w:val="20"/>
                <w:b/>
              </w:rPr>
              <w:t xml:space="preserve">  </w:t>
            </w:r>
          </w:p>
          <w:p>
            <w:pPr>
              <w:pStyle w:val="null3"/>
              <w:ind w:firstLine="356"/>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陕西省普通干线公路交调站建设</w:t>
            </w:r>
            <w:r>
              <w:rPr>
                <w:rFonts w:ascii="仿宋_GB2312" w:hAnsi="仿宋_GB2312" w:cs="仿宋_GB2312" w:eastAsia="仿宋_GB2312"/>
                <w:sz w:val="20"/>
              </w:rPr>
              <w:t>方案》</w:t>
            </w:r>
            <w:r>
              <w:rPr>
                <w:rFonts w:ascii="仿宋_GB2312" w:hAnsi="仿宋_GB2312" w:cs="仿宋_GB2312" w:eastAsia="仿宋_GB2312"/>
                <w:sz w:val="20"/>
              </w:rPr>
              <w:t>；</w:t>
            </w:r>
          </w:p>
          <w:p>
            <w:pPr>
              <w:pStyle w:val="null3"/>
              <w:ind w:firstLine="356"/>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陕西省普通干线公路交调站</w:t>
            </w:r>
            <w:r>
              <w:rPr>
                <w:rFonts w:ascii="仿宋_GB2312" w:hAnsi="仿宋_GB2312" w:cs="仿宋_GB2312" w:eastAsia="仿宋_GB2312"/>
                <w:sz w:val="20"/>
              </w:rPr>
              <w:t>建设</w:t>
            </w:r>
            <w:r>
              <w:rPr>
                <w:rFonts w:ascii="仿宋_GB2312" w:hAnsi="仿宋_GB2312" w:cs="仿宋_GB2312" w:eastAsia="仿宋_GB2312"/>
                <w:sz w:val="20"/>
              </w:rPr>
              <w:t>施工图设计文件》</w:t>
            </w:r>
            <w:r>
              <w:rPr>
                <w:rFonts w:ascii="仿宋_GB2312" w:hAnsi="仿宋_GB2312" w:cs="仿宋_GB2312" w:eastAsia="仿宋_GB2312"/>
                <w:sz w:val="20"/>
              </w:rPr>
              <w:t>（含图纸、说明、工程量清单</w:t>
            </w:r>
            <w:r>
              <w:rPr>
                <w:rFonts w:ascii="仿宋_GB2312" w:hAnsi="仿宋_GB2312" w:cs="仿宋_GB2312" w:eastAsia="仿宋_GB2312"/>
                <w:sz w:val="20"/>
              </w:rPr>
              <w:t>等</w:t>
            </w:r>
            <w:r>
              <w:rPr>
                <w:rFonts w:ascii="仿宋_GB2312" w:hAnsi="仿宋_GB2312" w:cs="仿宋_GB2312" w:eastAsia="仿宋_GB2312"/>
                <w:sz w:val="20"/>
              </w:rPr>
              <w:t>）</w:t>
            </w:r>
            <w:r>
              <w:rPr>
                <w:rFonts w:ascii="仿宋_GB2312" w:hAnsi="仿宋_GB2312" w:cs="仿宋_GB2312" w:eastAsia="仿宋_GB2312"/>
                <w:sz w:val="20"/>
              </w:rPr>
              <w:t>；</w:t>
            </w:r>
          </w:p>
          <w:p>
            <w:pPr>
              <w:pStyle w:val="null3"/>
              <w:ind w:firstLine="356"/>
              <w:jc w:val="both"/>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《施工图预算》</w:t>
            </w:r>
            <w:r>
              <w:rPr>
                <w:rFonts w:ascii="仿宋_GB2312" w:hAnsi="仿宋_GB2312" w:cs="仿宋_GB2312" w:eastAsia="仿宋_GB2312"/>
                <w:sz w:val="20"/>
              </w:rPr>
              <w:t>；</w:t>
            </w:r>
          </w:p>
          <w:p>
            <w:pPr>
              <w:pStyle w:val="null3"/>
              <w:ind w:firstLine="356"/>
              <w:jc w:val="both"/>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施工招标技术规范编制</w:t>
            </w:r>
            <w:r>
              <w:rPr>
                <w:rFonts w:ascii="仿宋_GB2312" w:hAnsi="仿宋_GB2312" w:cs="仿宋_GB2312" w:eastAsia="仿宋_GB2312"/>
                <w:sz w:val="20"/>
              </w:rPr>
              <w:t>》（</w:t>
            </w:r>
            <w:r>
              <w:rPr>
                <w:rFonts w:ascii="仿宋_GB2312" w:hAnsi="仿宋_GB2312" w:cs="仿宋_GB2312" w:eastAsia="仿宋_GB2312"/>
                <w:sz w:val="20"/>
              </w:rPr>
              <w:t>技术规范书与设备采购清单</w:t>
            </w:r>
            <w:r>
              <w:rPr>
                <w:rFonts w:ascii="仿宋_GB2312" w:hAnsi="仿宋_GB2312" w:cs="仿宋_GB2312" w:eastAsia="仿宋_GB2312"/>
                <w:sz w:val="20"/>
              </w:rPr>
              <w:t>）</w:t>
            </w:r>
            <w:r>
              <w:rPr>
                <w:rFonts w:ascii="仿宋_GB2312" w:hAnsi="仿宋_GB2312" w:cs="仿宋_GB2312" w:eastAsia="仿宋_GB2312"/>
                <w:sz w:val="20"/>
              </w:rPr>
              <w:t>；</w:t>
            </w:r>
          </w:p>
          <w:p>
            <w:pPr>
              <w:pStyle w:val="null3"/>
              <w:ind w:firstLine="356"/>
              <w:jc w:val="both"/>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1"/>
              </w:rPr>
              <w:t xml:space="preserve"> </w:t>
            </w:r>
            <w:r>
              <w:rPr>
                <w:rFonts w:ascii="仿宋_GB2312" w:hAnsi="仿宋_GB2312" w:cs="仿宋_GB2312" w:eastAsia="仿宋_GB2312"/>
                <w:sz w:val="20"/>
              </w:rPr>
              <w:t>设计变更记录及竣工图；</w:t>
            </w:r>
            <w:r>
              <w:rPr>
                <w:rFonts w:ascii="仿宋_GB2312" w:hAnsi="仿宋_GB2312" w:cs="仿宋_GB2312" w:eastAsia="仿宋_GB2312"/>
                <w:sz w:val="20"/>
              </w:rPr>
              <w:t xml:space="preserve">  </w:t>
            </w:r>
          </w:p>
          <w:p>
            <w:pPr>
              <w:pStyle w:val="null3"/>
              <w:jc w:val="both"/>
            </w:pPr>
            <w:r>
              <w:rPr>
                <w:rFonts w:ascii="仿宋_GB2312" w:hAnsi="仿宋_GB2312" w:cs="仿宋_GB2312" w:eastAsia="仿宋_GB2312"/>
                <w:sz w:val="20"/>
              </w:rPr>
              <w:t xml:space="preserve">6. </w:t>
            </w:r>
            <w:r>
              <w:rPr>
                <w:rFonts w:ascii="仿宋_GB2312" w:hAnsi="仿宋_GB2312" w:cs="仿宋_GB2312" w:eastAsia="仿宋_GB2312"/>
                <w:sz w:val="20"/>
              </w:rPr>
              <w:t>项目总结报告（含设计创新点与问题反馈）。</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人员配备应齐全、合理，满足项目服务要求。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一、本项目施工图评审、履约验收等费用，由供应商自行承担。 二、该项目完成后，供应商向采购人申请验收，采购人组织相关人员或专家组成的验收小组对项目进行最终验收。验收合格后，采购人填写终验验收单。验收不合格的，限期整改，整改过程中产生的费用和发生的一切损失由供应商承担；整改超过二次的，采购人有权单方解除本合同，供应商应无条件退还已收取的全部合同价款，并按合同总价10%向采购人支付违约金，违约金不足弥补采购人损失的，由供应商负责赔偿。 三、验收依据： （一）本合同及附加文本； （二）磋商文件、成交供应商的响应文件及澄清（承诺）函； （三）国家相应的标准、规范及《陕西省公路局政府采购项目履约验收办法》（陕公路办〔2024〕7号）。</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领取中标通知书后，合同签订前，供应商向采购人支付合同金额5%的履约保证金。合同签订后，供应商开具等额增值税专用/普通发票后，采购人以银行转账方式向供应商支付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项目完工后，供应商开具等额增值税专用/普通发票后，采购人以银行转账方式向供应商支付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甲方的违约责任 合同签订后，乙方应将所需技术资料、数据的内容及标准以书面形式告知甲方，甲方未提供合同约定的技术资料，或者所提供的数据、资料不满足要求，造成工作延迟或者影响工作质量，甲方应承担相应责任。 乙方的违约责任 乙方迟延完成交付，每延迟一天按照合同金额的【0.1】%应向甲方支付违约金；逾期【5】天以上的，甲方有权随时解除合同。乙方应退还已收取的全部价款，给甲方造成损失的还应予以赔偿。 乙方未在指定期限内全额缴纳履约保证金，甲方有权取消其中标资格或随时解除合同。 每发现一次乙方服务不符合甲方要求或合同约定，乙方向甲方承担合同总价款【2】%的违约金，对甲方造成损失的，乙方还应予以赔偿，发现【3】次的，甲方有权单方解除合同并保留追究乙方违约责任的权利。 合同因乙方违约导致解除的，乙方除应承担违约责任赔偿甲方损失外，已收的款项应退还甲方；甲方因乙方违约而产生的维权费用，包括但不限于诉讼费、律师费、保全费、鉴定费、评估费、公证费、差旅费等费用，均由乙方承担。</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3.4.1.竞争性磋商项目实行二轮报价，第一次报价后，磋商小组可以变更采购需求中的技术、服务要求以及合同草案条款，二轮报价为最终报价。 3.4.2.磋商开始后，出现下列情形之一的，采购代理机构将终止竞争性磋商采购活动，发布项目终止公告并说明原因，重新开展采购活动： （1）因情况变化，不再符合规定的竞争性磋商采购方式适用情形的； （2）出现影响采购公正的违法、违规行为的； （3）在采购过程中符合要求的供应商不足3家的 （不包含政府购买服务项目）； （4）报价未超过采购预算的供应商不足3家的。 （5）因重大变故，采购任务取消的。 3.4.3. 提交最后报价的供应商为2家时，可以继续进行磋商的情形： （1）市场竞争不充分的科研项目，以及需要扶持的科技成果转化项目； （2）政府购买服务项目（含政府和社会资本项目）。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本项目为非专门面向中小企业的项目，若享受以上政策优惠的企业，提供相应声明函或品目清单范围内产品的有效认证证书。</w:t>
            </w:r>
          </w:p>
        </w:tc>
        <w:tc>
          <w:tcPr>
            <w:tcW w:type="dxa" w:w="3322"/>
          </w:tcPr>
          <w:p>
            <w:pPr>
              <w:pStyle w:val="null3"/>
            </w:pPr>
            <w:r>
              <w:rPr>
                <w:rFonts w:ascii="仿宋_GB2312" w:hAnsi="仿宋_GB2312" w:cs="仿宋_GB2312" w:eastAsia="仿宋_GB2312"/>
              </w:rPr>
              <w:t>本项目为非专门面向中小企业的项目，若享受以上政策优惠的企业，提供相应声明函或品目清单范围内产品的有效认证证书。 1.1 《关于进一步加大政府采购支持中小企业力度的通知》（财库〔2022〕19号）、《政府采购促进中小企业发展管理办法》（财库〔2020〕46号）、《关于政府采购支持监狱企业发展有关问题的通知》（财库〔2014〕68号）、《关于促进残疾人就业政府采购政策的通知》（财库〔2017〕141号）。 1.2 国务院办公厅《关于建立政府强制采购节能产品制度的通知》（国办发〔2007〕51号）、财政部、国家发改委、生态环境部、市场监督联合印发《关于调整优化节能产品、环境标志产品政府采购执行机制的通知》（财库〔2019〕9号）、《关于印发环境标志产品政府采购品目清单的通知》（财库〔2019〕18号）、《关于印发节能产品政府采购品目清单的通知》（财库〔2019〕19号）。 1.3 《财政部 农业农村部 国家乡村振兴局关于运用政府采购政策支持乡村产业振兴的通知》（财库〔2021〕19号）、《财政部农业农村部国家乡村振兴局 中华全国供销合作总社关于印发&lt;关于深入开展政府采购脱贫地区农副产品工作推进乡村产业振兴的实施意见&gt;的通知》（财库〔2021〕20号）。 1.4 《陕西省财政厅关于加快推进我省中小企业政府采购信用融资工作的通知》（陕财办采〔2020〕15号）、陕西省财政厅关于印发《陕西省中小企业政府采购信用融资办法》（陕财办采〔2018〕23号）。</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资质证明</w:t>
            </w:r>
          </w:p>
        </w:tc>
        <w:tc>
          <w:tcPr>
            <w:tcW w:type="dxa" w:w="3322"/>
          </w:tcPr>
          <w:p>
            <w:pPr>
              <w:pStyle w:val="null3"/>
            </w:pPr>
            <w:r>
              <w:rPr>
                <w:rFonts w:ascii="仿宋_GB2312" w:hAnsi="仿宋_GB2312" w:cs="仿宋_GB2312" w:eastAsia="仿宋_GB2312"/>
              </w:rPr>
              <w:t>供应商须具有行政主管部门颁发的工程设计公路行业（交通工程）专业乙级及以上资质；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投标截止日12个月内任意一月缴纳社会保障资金缴存单据或社保机构开具的社会保险参保缴费情况证明，依法不需要缴纳社会保障资金的单位应提供相关证明材料；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投标截止日12个月内任意一个月依法缴纳税收的相关凭据（时间以税款所属日期为准），凭据应有税务机关或代收机关的公章或业务专用章。依法免税或无须缴纳税收的供应商，应提供相应证明文件；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2023年或2024年至投标截止时间止任意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违纪失信</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参加本次政府采购活动前3年内在经营活动中没有重大违纪，以及未被列入失信被执行人、重大税收违法案件当事人名单、政府采购严重违法失信行为记录名单；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法定代表人或授权代表委托书</w:t>
            </w:r>
          </w:p>
        </w:tc>
        <w:tc>
          <w:tcPr>
            <w:tcW w:type="dxa" w:w="3322"/>
          </w:tcPr>
          <w:p>
            <w:pPr>
              <w:pStyle w:val="null3"/>
            </w:pPr>
            <w:r>
              <w:rPr>
                <w:rFonts w:ascii="仿宋_GB2312" w:hAnsi="仿宋_GB2312" w:cs="仿宋_GB2312" w:eastAsia="仿宋_GB2312"/>
              </w:rPr>
              <w:t>法定代表人直接参加磋商的，须出具法人身份证并与营业执照上信息一致；法定代表人授权代表参加磋商的，须出具法定代表人授权书、授权代表身份证以及被授权人有效的劳动合同或者截止开标前六个月内任意一个月本单位社保缴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本项目不接受联合体投标，供应商提供非联合体书面声明；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企业关联关系声明</w:t>
            </w:r>
          </w:p>
        </w:tc>
        <w:tc>
          <w:tcPr>
            <w:tcW w:type="dxa" w:w="3322"/>
          </w:tcPr>
          <w:p>
            <w:pPr>
              <w:pStyle w:val="null3"/>
            </w:pPr>
            <w:r>
              <w:rPr>
                <w:rFonts w:ascii="仿宋_GB2312" w:hAnsi="仿宋_GB2312" w:cs="仿宋_GB2312" w:eastAsia="仿宋_GB2312"/>
              </w:rPr>
              <w:t>单位负责人为同一人或者存在控股、管理关系的不同单位，不得同时参加本项目的磋商。提供法人代表、控股股东、控股企业及管理、被管理单位情况声明且各供应商之间不存在单位负责人为同一人或者存在控股、管理关系情形（提供声明或相关证明材料）。</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一、在磋商过程中，磋商小组认为供应商的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二、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服务内容及服务邀请应答表 合同主要条款偏离表.docx 中小企业声明函 商务应答表 供应商应提交的相关资格证明材料 报价表 响应文件封面 残疾人福利性单位声明函 服务方案 拟派项目负责人简历表.docx 标的清单 保证金缴纳凭证.docx 拟派项目组人员一览表.docx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竞争性磋商响应文件是否按竞争性磋商文件要求签署、盖章。</w:t>
            </w:r>
          </w:p>
        </w:tc>
        <w:tc>
          <w:tcPr>
            <w:tcW w:type="dxa" w:w="1661"/>
          </w:tcPr>
          <w:p>
            <w:pPr>
              <w:pStyle w:val="null3"/>
            </w:pPr>
            <w:r>
              <w:rPr>
                <w:rFonts w:ascii="仿宋_GB2312" w:hAnsi="仿宋_GB2312" w:cs="仿宋_GB2312" w:eastAsia="仿宋_GB2312"/>
              </w:rPr>
              <w:t>服务内容及服务邀请应答表 合同主要条款偏离表.docx 中小企业声明函 商务应答表 供应商应提交的相关资格证明材料 报价表 响应文件封面 残疾人福利性单位声明函 服务方案 拟派项目负责人简历表.docx 标的清单 保证金缴纳凭证.docx 拟派项目组人员一览表.docx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一、磋商报价表填写符合要求； 二、计量单位、报价货币均符合磋商文件要求； 三、磋商报价未超过采购预算或最高限价 (合格) ，磋商报价超过采购预算或最高限价(不合格 )。</w:t>
            </w:r>
          </w:p>
        </w:tc>
        <w:tc>
          <w:tcPr>
            <w:tcW w:type="dxa" w:w="1661"/>
          </w:tcPr>
          <w:p>
            <w:pPr>
              <w:pStyle w:val="null3"/>
            </w:pPr>
            <w:r>
              <w:rPr>
                <w:rFonts w:ascii="仿宋_GB2312" w:hAnsi="仿宋_GB2312" w:cs="仿宋_GB2312" w:eastAsia="仿宋_GB2312"/>
              </w:rPr>
              <w:t>服务内容及服务邀请应答表 合同主要条款偏离表.docx 中小企业声明函 商务应答表 供应商应提交的相关资格证明材料 报价表 响应文件封面 残疾人福利性单位声明函 服务方案 拟派项目负责人简历表.docx 标的清单 保证金缴纳凭证.docx 拟派项目组人员一览表.docx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一、不同供应商的响应文件由同一单位或者个人编制； 二、不同供应商委托同一单位或者个人办理磋商事宜； 三、不同供应商的响应文件载明的项目管理成员或者联系人员为同一人；</w:t>
            </w:r>
          </w:p>
        </w:tc>
        <w:tc>
          <w:tcPr>
            <w:tcW w:type="dxa" w:w="1661"/>
          </w:tcPr>
          <w:p>
            <w:pPr>
              <w:pStyle w:val="null3"/>
            </w:pPr>
            <w:r>
              <w:rPr>
                <w:rFonts w:ascii="仿宋_GB2312" w:hAnsi="仿宋_GB2312" w:cs="仿宋_GB2312" w:eastAsia="仿宋_GB2312"/>
              </w:rPr>
              <w:t>服务内容及服务邀请应答表 合同主要条款偏离表.docx 中小企业声明函 商务应答表 供应商应提交的相关资格证明材料 报价表 响应文件封面 残疾人福利性单位声明函 服务方案 拟派项目负责人简历表.docx 标的清单 保证金缴纳凭证.docx 拟派项目组人员一览表.docx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其他无效情形：无法律、法规和磋商文件规定的其他无效情形；</w:t>
            </w:r>
          </w:p>
        </w:tc>
        <w:tc>
          <w:tcPr>
            <w:tcW w:type="dxa" w:w="3322"/>
          </w:tcPr>
          <w:p>
            <w:pPr>
              <w:pStyle w:val="null3"/>
            </w:pPr>
            <w:r>
              <w:rPr>
                <w:rFonts w:ascii="仿宋_GB2312" w:hAnsi="仿宋_GB2312" w:cs="仿宋_GB2312" w:eastAsia="仿宋_GB2312"/>
              </w:rPr>
              <w:t>一、响应文件有效期：有效期满足磋商文件要求的；二、响应文件格式：响应文件按规定的格式填写；三、内容完整且关键字迹清晰；四、备选方案：供应商不得提交两份或者多份内容不同的响应文件；五、响应报价：在同一份响应文件中对同一磋商项目有两个或者多个报价；六、响应文件内容：供应商提供的货物无实质性遗漏；七、技术响应：符合“采购需求”要求，无重大偏差；八、服务期和服务地点 满足磋商文件要求；九、付款方式：磋商文件不允许偏差时，响应文件无负偏差；十、对磋商文件响应程度：应符合磋商文件实质性要求的规定。</w:t>
            </w:r>
          </w:p>
        </w:tc>
        <w:tc>
          <w:tcPr>
            <w:tcW w:type="dxa" w:w="1661"/>
          </w:tcPr>
          <w:p>
            <w:pPr>
              <w:pStyle w:val="null3"/>
            </w:pPr>
            <w:r>
              <w:rPr>
                <w:rFonts w:ascii="仿宋_GB2312" w:hAnsi="仿宋_GB2312" w:cs="仿宋_GB2312" w:eastAsia="仿宋_GB2312"/>
              </w:rPr>
              <w:t>服务内容及服务邀请应答表 合同主要条款偏离表.docx 中小企业声明函 商务应答表 供应商应提交的相关资格证明材料 报价表 响应文件封面 残疾人福利性单位声明函 服务方案 拟派项目负责人简历表.docx 标的清单 保证金缴纳凭证.docx 拟派项目组人员一览表.docx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按规定缴纳投标保证金的(合格)， 未缴纳投标保证金或保证金缴纳少于招标文件要求(不合格)</w:t>
            </w:r>
          </w:p>
        </w:tc>
        <w:tc>
          <w:tcPr>
            <w:tcW w:type="dxa" w:w="1661"/>
          </w:tcPr>
          <w:p>
            <w:pPr>
              <w:pStyle w:val="null3"/>
            </w:pPr>
            <w:r>
              <w:rPr>
                <w:rFonts w:ascii="仿宋_GB2312" w:hAnsi="仿宋_GB2312" w:cs="仿宋_GB2312" w:eastAsia="仿宋_GB2312"/>
              </w:rPr>
              <w:t>保证金缴纳凭证.docx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对项目理解及认识</w:t>
            </w:r>
          </w:p>
        </w:tc>
        <w:tc>
          <w:tcPr>
            <w:tcW w:type="dxa" w:w="2492"/>
          </w:tcPr>
          <w:p>
            <w:pPr>
              <w:pStyle w:val="null3"/>
            </w:pPr>
            <w:r>
              <w:rPr>
                <w:rFonts w:ascii="仿宋_GB2312" w:hAnsi="仿宋_GB2312" w:cs="仿宋_GB2312" w:eastAsia="仿宋_GB2312"/>
              </w:rPr>
              <w:t>一、评审内容 供应商针对本项目的理解及认识方案，内容包含：1.对项目背景的了解程度；2.对项目需求的理解程度；3.拟定成果目标对采购需求的符合程度。 二、评分标准 1.完整性:方案必须全面，对评审内容中的各项要求有详细描述； 2.可实施性:切合本项目实际情况，提出切实可行、合理的方案； 3.针对性:方案能够紧扣项目实际情况，内容科学合理。 三、赋分标准(满分9分) 1.对项目背景的了解程度：每完全满足一个评审标准得1分，满分3分； 2.对项目需求的理解程度：每完全满足一个评审标准得1分，满分3分； 3.拟定成果目标对采购需求的符合程度：每完全满足一个评审标准得1分，满分3分。 注： 1.针对每条评审标准，如存在不合理的方面得0.5分；2.针对每条评审标准，内容与本项目无关或未提供得0分。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 方案</w:t>
            </w:r>
          </w:p>
        </w:tc>
        <w:tc>
          <w:tcPr>
            <w:tcW w:type="dxa" w:w="2492"/>
          </w:tcPr>
          <w:p>
            <w:pPr>
              <w:pStyle w:val="null3"/>
            </w:pPr>
            <w:r>
              <w:rPr>
                <w:rFonts w:ascii="仿宋_GB2312" w:hAnsi="仿宋_GB2312" w:cs="仿宋_GB2312" w:eastAsia="仿宋_GB2312"/>
              </w:rPr>
              <w:t>一、评审内容 供应商针对本项目的实施方案，内容包含：1.针对阶段性的设计工作、优化设计成本及各专业施工图设计等有针对性的实施方法；2.施工图设计的重点、难度分析；3.人员保障措施；4.项目管理及后期项目配合方案。 二、评分标准 1.完整性:方案必须全面，对评审内容中的各项要求有详细描述； 2.可实施性:切合本项目实际情况，提出切实可行、合理的方案； 3.针对性:方案能够紧扣项目实际情况，内容科学合理。 三、赋分标准(满分24分) 1.针对阶段性的设计工作、优化设计成本及各专业施工图设计等有针对性的实施方法：每完全满足一个评审标准得2分，满分6分； 2.施工图设计的重点、难度分析：每完全满足一个评审标准得2分，满分6分； 3.人员保障措施：每完全满足一个评审标准得2分，满分6分； 4.项目管理及后期项目配合方案：每完全满足一个评审标准得2分，满分6分。 注： 1.针对每条评审标准，如存在不合理的方面得0.5分；2.针对每条评审标准，内容与本项目无关或未提供得0分。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 保障</w:t>
            </w:r>
          </w:p>
        </w:tc>
        <w:tc>
          <w:tcPr>
            <w:tcW w:type="dxa" w:w="2492"/>
          </w:tcPr>
          <w:p>
            <w:pPr>
              <w:pStyle w:val="null3"/>
            </w:pPr>
            <w:r>
              <w:rPr>
                <w:rFonts w:ascii="仿宋_GB2312" w:hAnsi="仿宋_GB2312" w:cs="仿宋_GB2312" w:eastAsia="仿宋_GB2312"/>
              </w:rPr>
              <w:t>一、评审内容 供应商针对本项目的质量保障，内容包含：1.项目组织机构及管理体系；2.管理制度及岗位职责；3.项目质量保障措施及服务质量保障承诺。 二、评分标准 1.完整性:方案必须全面，对评审内容中的各项要求有详细描述； 2.可实施性:切合本项目实际情况，提出切实可行、合理的方案； 3.针对性:方案能够紧扣项目实际情况，内容科学合理。 三、赋分标准(满分9分) 1.项目组织机构及管理体系：每完全满足一个评审标准得1分，满分3分； 2.管理制度及岗位职责：每完全满足一个评审标准得1分，满分3分； 3.项目质量保障措施及服务质量保障承诺：每完全满足一个评审标准得1分，满分3分。 注： 1.针对每条评审标准，如存在不合理的方面得0.5分；2.针对每条评审标准，内容与本项目无关或未提供得0分。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 保障</w:t>
            </w:r>
          </w:p>
        </w:tc>
        <w:tc>
          <w:tcPr>
            <w:tcW w:type="dxa" w:w="2492"/>
          </w:tcPr>
          <w:p>
            <w:pPr>
              <w:pStyle w:val="null3"/>
            </w:pPr>
            <w:r>
              <w:rPr>
                <w:rFonts w:ascii="仿宋_GB2312" w:hAnsi="仿宋_GB2312" w:cs="仿宋_GB2312" w:eastAsia="仿宋_GB2312"/>
              </w:rPr>
              <w:t>一、评审内容 供应商提供针对本项目的工作进度安排，内容括但不限于：1.提供详细完善的设计施工图及设计周期；2.设计工作量及计划安排；3.确保服务期进度的保证措施。 二、评分标准 1.完整性:方案必须全面，对评审内容中的各项要求有详细描述； 2.可实施性:切合本项目实际情况，提出切实可行、合理的方案； 3.针对性:方案能够紧扣项目实际情况，内容科学合理。 三、赋分标准(满分9分) 1.提供详细完善的设计施工图及设计周期：每完全满足一个评审标准得1分，满分3分； 2.设计工作量及计划安排：每完全满足一个评审标准得1分，满分3分； 3.确保服务期进度的保证措施：每完全满足一个评审标准得1分，满分3分； 注： 1.针对每条评审标准，如存在不合理的方面得0.5分；2.针对每条评审标准，内容与本项目无关或未提供得0分。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 服务</w:t>
            </w:r>
          </w:p>
        </w:tc>
        <w:tc>
          <w:tcPr>
            <w:tcW w:type="dxa" w:w="2492"/>
          </w:tcPr>
          <w:p>
            <w:pPr>
              <w:pStyle w:val="null3"/>
            </w:pPr>
            <w:r>
              <w:rPr>
                <w:rFonts w:ascii="仿宋_GB2312" w:hAnsi="仿宋_GB2312" w:cs="仿宋_GB2312" w:eastAsia="仿宋_GB2312"/>
              </w:rPr>
              <w:t>一、评审内容 供应商针对本项目的售后，内容包含：1.售后服务承诺、质量保证期限及质量保证的范围承诺（提供售后承诺函）；2.售后服务响应时间及时高效，处理响应时间方案；3.后续服务的安排及保证措施。 二、评分标准 1.完整性:方案必须全面，对评审内容中的各项要求有详细描述； 2.可实施性:切合本项目实际情况，提出切实可行、合理的方案； 3.针对性:方案能够紧扣项目实际情况，内容科学合理。 三、赋分标准(满分9分) 1.售后服务承诺、质量保证期限及质量保证的范围承诺（提供售后承诺函）：每完全满足一个评审标准得1分，满分3分； 2.售后服务响应时间及时高效，处理响应时间方案：每完全满足一个评审标准得1分，满分3分； 3.后续服务的安排及保证措施：每完全满足一个评审标准得1分，满分3分。 注： 1.针对每条评审标准，如存在不合理的方面得0.5分；2.针对每条评审标准，内容与本项目无关或未提供得0分。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 能力</w:t>
            </w:r>
          </w:p>
        </w:tc>
        <w:tc>
          <w:tcPr>
            <w:tcW w:type="dxa" w:w="2492"/>
          </w:tcPr>
          <w:p>
            <w:pPr>
              <w:pStyle w:val="null3"/>
            </w:pPr>
            <w:r>
              <w:rPr>
                <w:rFonts w:ascii="仿宋_GB2312" w:hAnsi="仿宋_GB2312" w:cs="仿宋_GB2312" w:eastAsia="仿宋_GB2312"/>
              </w:rPr>
              <w:t>供应商及本项目相关技术服务团队需及时提供项目应急服务支持（提供承诺书或相应证明材料），未提供材料不得分。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 负责人</w:t>
            </w:r>
          </w:p>
        </w:tc>
        <w:tc>
          <w:tcPr>
            <w:tcW w:type="dxa" w:w="2492"/>
          </w:tcPr>
          <w:p>
            <w:pPr>
              <w:pStyle w:val="null3"/>
            </w:pPr>
            <w:r>
              <w:rPr>
                <w:rFonts w:ascii="仿宋_GB2312" w:hAnsi="仿宋_GB2312" w:cs="仿宋_GB2312" w:eastAsia="仿宋_GB2312"/>
              </w:rPr>
              <w:t>1.项目负责人具有交通工程、公路工程等相关专业高级职称得1分，正高级职称得2分，此项最高得2分，未提供或提供不全的不得分。 2.项目负责人须提供在同类项目中担任项目负责人的业绩证明（提供合同原件扫描件或业主单位出具的履约证明）每提供一项得1分，此项最高得4分，未提供或提供不全的不得分。 以上须提供职称证书或资格证书等有效证明材料复印件并加盖公章，未按要求提供不得分。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拟派项目负责人简历表.docx</w:t>
            </w:r>
          </w:p>
          <w:p>
            <w:pPr>
              <w:pStyle w:val="null3"/>
            </w:pPr>
            <w:r>
              <w:rPr>
                <w:rFonts w:ascii="仿宋_GB2312" w:hAnsi="仿宋_GB2312" w:cs="仿宋_GB2312" w:eastAsia="仿宋_GB2312"/>
              </w:rPr>
              <w:t>拟派项目组人员一览表.docx</w:t>
            </w:r>
          </w:p>
        </w:tc>
      </w:tr>
      <w:tr>
        <w:tc>
          <w:tcPr>
            <w:tcW w:type="dxa" w:w="831"/>
            <w:vMerge/>
          </w:tcPr>
          <w:p/>
        </w:tc>
        <w:tc>
          <w:tcPr>
            <w:tcW w:type="dxa" w:w="1661"/>
          </w:tcPr>
          <w:p>
            <w:pPr>
              <w:pStyle w:val="null3"/>
            </w:pPr>
            <w:r>
              <w:rPr>
                <w:rFonts w:ascii="仿宋_GB2312" w:hAnsi="仿宋_GB2312" w:cs="仿宋_GB2312" w:eastAsia="仿宋_GB2312"/>
              </w:rPr>
              <w:t>项目 团队</w:t>
            </w:r>
          </w:p>
        </w:tc>
        <w:tc>
          <w:tcPr>
            <w:tcW w:type="dxa" w:w="2492"/>
          </w:tcPr>
          <w:p>
            <w:pPr>
              <w:pStyle w:val="null3"/>
            </w:pPr>
            <w:r>
              <w:rPr>
                <w:rFonts w:ascii="仿宋_GB2312" w:hAnsi="仿宋_GB2312" w:cs="仿宋_GB2312" w:eastAsia="仿宋_GB2312"/>
              </w:rPr>
              <w:t>项目团队人员具体要求如下： 1.项目团队成员参与过同类设计项目工作。 2.项目团队成员应具有交通工程、结构工程、电气工程等相关专业中级职称及以上证书或相关证明材料。 必须提供证书复印件，每提供一份业绩及证书得1分，最高得5分。 注：一人多证的，按一证计算。 以上须提供职称证书或资格证书等有效证明材料复印件并加盖公章，未按要求提供不得分。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拟派项目负责人简历表.docx</w:t>
            </w:r>
          </w:p>
          <w:p>
            <w:pPr>
              <w:pStyle w:val="null3"/>
            </w:pPr>
            <w:r>
              <w:rPr>
                <w:rFonts w:ascii="仿宋_GB2312" w:hAnsi="仿宋_GB2312" w:cs="仿宋_GB2312" w:eastAsia="仿宋_GB2312"/>
              </w:rPr>
              <w:t>拟派项目组人员一览表.docx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自2022年1月1日以来（以合同签订时间为准），供应商承接过类似项目的，每提供一个项目得2分，最高得12分。 注：须提供合同关键页（包含签订合同双方的单位名称、项目名称、项目内容、双方签字盖章页及合同签订日期等）或验收证明或用户评价的复印件并加盖公章，未按要求提供不得分。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磋商价格最低的磋商报价为磋商基准价，其价格分为满分。（因落实政府采购政策进行价格调整的，以调整后的价格计算磋商基准价和磋商报价）其他供应商的价格分按照下列公式计算：磋商报价得分＝（磋商基准价/磋商报价）×价格分值。价格得分四舍五入保留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详见附件：合同主要条款偏离表.docx</w:t>
      </w:r>
    </w:p>
    <w:p>
      <w:pPr>
        <w:pStyle w:val="null3"/>
        <w:ind w:firstLine="960"/>
      </w:pPr>
      <w:r>
        <w:rPr>
          <w:rFonts w:ascii="仿宋_GB2312" w:hAnsi="仿宋_GB2312" w:cs="仿宋_GB2312" w:eastAsia="仿宋_GB2312"/>
        </w:rPr>
        <w:t>详见附件：拟派项目负责人简历表.docx</w:t>
      </w:r>
    </w:p>
    <w:p>
      <w:pPr>
        <w:pStyle w:val="null3"/>
        <w:ind w:firstLine="960"/>
      </w:pPr>
      <w:r>
        <w:rPr>
          <w:rFonts w:ascii="仿宋_GB2312" w:hAnsi="仿宋_GB2312" w:cs="仿宋_GB2312" w:eastAsia="仿宋_GB2312"/>
        </w:rPr>
        <w:t>详见附件：拟派项目组人员一览表.docx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