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版本号：KY2025-3-13420250620001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《贸易实务》网络课程立项建设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KY2025-3-134</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《贸易实务》网络课程立项建设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KY2025-3-134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《贸易实务》网络课程立项建设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《贸易实务》网络课程立项建设，简要技术要求：详见磋商文件第三部分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采购包1（《贸易实务》网络课程立项建设）：属于专门面向中小企业采购。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帅老师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代理服务费收费标准：参照国家计委颁布的《招标代理服务收费管理暂行办法》（计价格[2002]1980号）及发改办价格[2003]857号文件的规定标准按服务计取，不足6000元的，按6000元收取。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联系人：谢婷婷、黄梦迪、戈迪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《贸易实务》网络课程立项建设。简要技术要求：详见磋商文件第三部分。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网络课程技术制作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标的名称：网络课程技术制作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1.建设清单</w:t>
            </w:r>
          </w:p>
          <w:tbl>
            <w:tblPr>
              <w:tblInd w:type="dxa" w:w="120"/>
              <w:tblBorders>
                <w:top w:val="none" w:color="000000" w:sz="4"/>
                <w:left w:val="none" w:color="000000" w:sz="4"/>
                <w:bottom w:val="none" w:color="000000" w:sz="4"/>
                <w:right w:val="none" w:color="000000" w:sz="4"/>
                <w:insideH w:val="none"/>
                <w:insideV w:val="none"/>
              </w:tblBorders>
            </w:tblPr>
            <w:tblGrid>
              <w:gridCol w:w="251"/>
              <w:gridCol w:w="606"/>
              <w:gridCol w:w="268"/>
              <w:gridCol w:w="1428"/>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建设内容</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说明</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网络课程搭建</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网络课程中，根据学习平台的功能设计在线互动形式。在视频资源中设计、添加交互点形成交互视频</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AI智能伴学</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学生进行学习并与</w:t>
                  </w:r>
                  <w:r>
                    <w:rPr>
                      <w:rFonts w:ascii="仿宋_GB2312" w:hAnsi="仿宋_GB2312" w:cs="仿宋_GB2312" w:eastAsia="仿宋_GB2312"/>
                      <w:sz w:val="20"/>
                    </w:rPr>
                    <w:t>AI智能伴学互动答疑</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课程文件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思维导图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任务要点提示音频解说</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1.每个时长约2-3分钟，总时长约100分钟；</w:t>
                  </w:r>
                </w:p>
                <w:p>
                  <w:pPr>
                    <w:pStyle w:val="null3"/>
                    <w:jc w:val="both"/>
                  </w:pPr>
                  <w:r>
                    <w:rPr>
                      <w:rFonts w:ascii="仿宋_GB2312" w:hAnsi="仿宋_GB2312" w:cs="仿宋_GB2312" w:eastAsia="仿宋_GB2312"/>
                      <w:sz w:val="20"/>
                    </w:rPr>
                    <w:t>2.语音片段，概要提示教材中本任务学习内容。</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名师解忧</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1.每个时长约3-5分钟，总时长约60分钟；</w:t>
                  </w:r>
                </w:p>
                <w:p>
                  <w:pPr>
                    <w:pStyle w:val="null3"/>
                    <w:jc w:val="both"/>
                  </w:pPr>
                  <w:r>
                    <w:rPr>
                      <w:rFonts w:ascii="仿宋_GB2312" w:hAnsi="仿宋_GB2312" w:cs="仿宋_GB2312" w:eastAsia="仿宋_GB2312"/>
                      <w:sz w:val="20"/>
                    </w:rPr>
                    <w:t>2.微视频片段，分析讲解回应教材项目情境导入案例。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1.每个时长约8-15分钟，总时长240-300分钟；</w:t>
                  </w:r>
                </w:p>
                <w:p>
                  <w:pPr>
                    <w:pStyle w:val="null3"/>
                    <w:jc w:val="both"/>
                  </w:pPr>
                  <w:r>
                    <w:rPr>
                      <w:rFonts w:ascii="仿宋_GB2312" w:hAnsi="仿宋_GB2312" w:cs="仿宋_GB2312" w:eastAsia="仿宋_GB2312"/>
                      <w:sz w:val="20"/>
                    </w:rPr>
                    <w:t>2.用具体的任务、案例、数据，或者学生熟悉的事情进行知识导入，采用文字、图片、视频、音频等多种形式呈现，落实课程思政要求，结合课程特点、思维方法和价值理念，挖掘课程思政元素，有机融入课程。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动画</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每个时长约</w:t>
                  </w:r>
                  <w:r>
                    <w:rPr>
                      <w:rFonts w:ascii="仿宋_GB2312" w:hAnsi="仿宋_GB2312" w:cs="仿宋_GB2312" w:eastAsia="仿宋_GB2312"/>
                      <w:sz w:val="20"/>
                    </w:rPr>
                    <w:t>2-3分钟，总时长约30分钟。</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数字人教师</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根据课程负责人形象和声音数据采集，定制数字人教师。</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PPT课件美化</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对教师提供的</w:t>
                  </w:r>
                  <w:r>
                    <w:rPr>
                      <w:rFonts w:ascii="仿宋_GB2312" w:hAnsi="仿宋_GB2312" w:cs="仿宋_GB2312" w:eastAsia="仿宋_GB2312"/>
                      <w:sz w:val="20"/>
                    </w:rPr>
                    <w:t>PPT进行内容审核修改，设计体现课程特色的PPT模板，PPT加入插图和动画、批量美化和设计，使PPT更加美观和可视化。</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阶段性测试</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全部为客观题。课程团队提供试题，技术公司负责平台设计与上传。</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形成性、终结性考试题组卷优化</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全部为客观题。课程团队提供试题，技术公司负责平台设计与上传。</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智能审校</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对已经完成的课程资源进行审校。</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2.技术要求</w:t>
            </w:r>
          </w:p>
          <w:p>
            <w:pPr>
              <w:pStyle w:val="null3"/>
            </w:pPr>
            <w:r>
              <w:rPr>
                <w:rFonts w:ascii="仿宋_GB2312" w:hAnsi="仿宋_GB2312" w:cs="仿宋_GB2312" w:eastAsia="仿宋_GB2312"/>
                <w:sz w:val="20"/>
              </w:rPr>
              <w:t>▲2.1智能审校</w:t>
            </w:r>
          </w:p>
          <w:p>
            <w:pPr>
              <w:pStyle w:val="null3"/>
              <w:jc w:val="both"/>
            </w:pPr>
            <w:r>
              <w:rPr>
                <w:rFonts w:ascii="仿宋_GB2312" w:hAnsi="仿宋_GB2312" w:cs="仿宋_GB2312" w:eastAsia="仿宋_GB2312"/>
                <w:sz w:val="20"/>
              </w:rPr>
              <w:t>对新建课程内容提供意识形态审校，课程需通过意识形态智能审核，形成审核报告结果，审核报告内容至少包含文字标点差错、知识性差错、内容导向风险等信息；以及人工复审，形成审核报告结果，人工审核报告内容至少包含课程名称、课程简介、资源总数、资源总时长等信息。供应商应提供相关成功案例证明材料。</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.2课程运维与推广</w:t>
            </w:r>
          </w:p>
          <w:p>
            <w:pPr>
              <w:pStyle w:val="null3"/>
              <w:jc w:val="both"/>
            </w:pPr>
            <w:r>
              <w:rPr>
                <w:rFonts w:ascii="仿宋_GB2312" w:hAnsi="仿宋_GB2312" w:cs="仿宋_GB2312" w:eastAsia="仿宋_GB2312"/>
                <w:sz w:val="20"/>
              </w:rPr>
              <w:t>供应商应配合教师，课程上线国开学习网平台，基于国开网学习平台进行互动功能设计。并推荐课程参加国家终身教育智慧教育平台遴选活动，供应商应提供相关成功案例证明材料。</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.3拍摄方式及设备规格</w:t>
            </w:r>
          </w:p>
          <w:p>
            <w:pPr>
              <w:pStyle w:val="null3"/>
              <w:jc w:val="both"/>
            </w:pPr>
            <w:r>
              <w:rPr>
                <w:rFonts w:ascii="仿宋_GB2312" w:hAnsi="仿宋_GB2312" w:cs="仿宋_GB2312" w:eastAsia="仿宋_GB2312"/>
                <w:sz w:val="20"/>
              </w:rPr>
              <w:t>▲供应商应该提供至少包括以下拍摄设备的购置发票：拍摄设备、灯光设备、录音设备、提词器设备、一体机、滑轨摇臂、无人机、专业麦克风、制作软件、制作硬件。</w:t>
            </w:r>
          </w:p>
          <w:p>
            <w:pPr>
              <w:pStyle w:val="null3"/>
              <w:jc w:val="both"/>
            </w:pPr>
            <w:r>
              <w:rPr>
                <w:rFonts w:ascii="仿宋_GB2312" w:hAnsi="仿宋_GB2312" w:cs="仿宋_GB2312" w:eastAsia="仿宋_GB2312"/>
                <w:sz w:val="20"/>
              </w:rPr>
              <w:t>拍摄形式及设备规格</w:t>
            </w:r>
            <w:r>
              <w:rPr>
                <w:rFonts w:ascii="仿宋_GB2312" w:hAnsi="仿宋_GB2312" w:cs="仿宋_GB2312" w:eastAsia="仿宋_GB2312"/>
                <w:sz w:val="20"/>
              </w:rPr>
              <w:t>:使用4K高清相机(或摄像机)拍摄。操作性课程配备摇臂、导轨等拍摄设备。拍摄配置单反镜头:24mm-70mm常规镜头。</w:t>
            </w:r>
          </w:p>
          <w:p>
            <w:pPr>
              <w:pStyle w:val="null3"/>
              <w:jc w:val="both"/>
            </w:pPr>
            <w:r>
              <w:rPr>
                <w:rFonts w:ascii="仿宋_GB2312" w:hAnsi="仿宋_GB2312" w:cs="仿宋_GB2312" w:eastAsia="仿宋_GB2312"/>
                <w:sz w:val="20"/>
              </w:rPr>
              <w:t>①拍摄方式：采用多机位拍摄，机位设置完整展现教师的授课内容，并合理地展现教师的授课风采。</w:t>
            </w:r>
          </w:p>
          <w:p>
            <w:pPr>
              <w:pStyle w:val="null3"/>
              <w:jc w:val="both"/>
            </w:pPr>
            <w:r>
              <w:rPr>
                <w:rFonts w:ascii="仿宋_GB2312" w:hAnsi="仿宋_GB2312" w:cs="仿宋_GB2312" w:eastAsia="仿宋_GB2312"/>
                <w:sz w:val="20"/>
              </w:rPr>
              <w:t>②录像设备：摄像机不低于专业级数字设备，使用4K高清数字设备。摄像机拍摄时采用分辨率为3840×2160，录像视频宽 16:9，帧率设定为25帧；拍摄设备同型同款，多台高清摄像机保证录制效果的一致性。</w:t>
            </w:r>
          </w:p>
          <w:p>
            <w:pPr>
              <w:pStyle w:val="null3"/>
              <w:jc w:val="both"/>
            </w:pPr>
            <w:r>
              <w:rPr>
                <w:rFonts w:ascii="仿宋_GB2312" w:hAnsi="仿宋_GB2312" w:cs="仿宋_GB2312" w:eastAsia="仿宋_GB2312"/>
                <w:sz w:val="20"/>
              </w:rPr>
              <w:t>③录音设备：使用专业级话筒，保证教师和学生发言的录音质量；并配备足量的胸麦和手持话筒。</w:t>
            </w:r>
          </w:p>
          <w:p>
            <w:pPr>
              <w:pStyle w:val="null3"/>
              <w:jc w:val="both"/>
            </w:pPr>
            <w:r>
              <w:rPr>
                <w:rFonts w:ascii="仿宋_GB2312" w:hAnsi="仿宋_GB2312" w:cs="仿宋_GB2312" w:eastAsia="仿宋_GB2312"/>
                <w:sz w:val="20"/>
              </w:rPr>
              <w:t>④后期制作设备：使用专业广电级非线性编辑系统。</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.4视频制作规格</w:t>
            </w:r>
          </w:p>
          <w:p>
            <w:pPr>
              <w:pStyle w:val="null3"/>
              <w:jc w:val="both"/>
            </w:pPr>
            <w:r>
              <w:rPr>
                <w:rFonts w:ascii="仿宋_GB2312" w:hAnsi="仿宋_GB2312" w:cs="仿宋_GB2312" w:eastAsia="仿宋_GB2312"/>
                <w:sz w:val="20"/>
              </w:rPr>
              <w:t>①视频构图、配色</w:t>
            </w:r>
          </w:p>
          <w:p>
            <w:pPr>
              <w:pStyle w:val="null3"/>
              <w:jc w:val="both"/>
            </w:pPr>
            <w:r>
              <w:rPr>
                <w:rFonts w:ascii="仿宋_GB2312" w:hAnsi="仿宋_GB2312" w:cs="仿宋_GB2312" w:eastAsia="仿宋_GB2312"/>
                <w:sz w:val="20"/>
              </w:rPr>
              <w:t>画面构图合理，画面主体突出。除了普通的出镜讲解之外，与课程内容相符合的教具实拍、实验实拍、抠像动画、抠像</w:t>
            </w:r>
            <w:r>
              <w:rPr>
                <w:rFonts w:ascii="仿宋_GB2312" w:hAnsi="仿宋_GB2312" w:cs="仿宋_GB2312" w:eastAsia="仿宋_GB2312"/>
                <w:sz w:val="20"/>
              </w:rPr>
              <w:t>PPT、虚拟背景等形式，要满足画面的主体与构图合理，内容与教学目标相吻合。</w:t>
            </w:r>
          </w:p>
          <w:p>
            <w:pPr>
              <w:pStyle w:val="null3"/>
              <w:jc w:val="both"/>
            </w:pPr>
            <w:r>
              <w:rPr>
                <w:rFonts w:ascii="仿宋_GB2312" w:hAnsi="仿宋_GB2312" w:cs="仿宋_GB2312" w:eastAsia="仿宋_GB2312"/>
                <w:sz w:val="20"/>
              </w:rPr>
              <w:t>微课的背景配色与课程内容相匹配，可以是彩色喷绘、电脑虚拟或现场实景等背景。背景的颜色、图案不宜过多，保持静态，画面简洁、明快，利于营造好的学习气氛。</w:t>
            </w:r>
          </w:p>
          <w:p>
            <w:pPr>
              <w:pStyle w:val="null3"/>
              <w:jc w:val="both"/>
            </w:pPr>
            <w:r>
              <w:rPr>
                <w:rFonts w:ascii="仿宋_GB2312" w:hAnsi="仿宋_GB2312" w:cs="仿宋_GB2312" w:eastAsia="仿宋_GB2312"/>
                <w:sz w:val="20"/>
              </w:rPr>
              <w:t>②课程声音效果</w:t>
            </w:r>
          </w:p>
          <w:p>
            <w:pPr>
              <w:pStyle w:val="null3"/>
              <w:jc w:val="both"/>
            </w:pPr>
            <w:r>
              <w:rPr>
                <w:rFonts w:ascii="仿宋_GB2312" w:hAnsi="仿宋_GB2312" w:cs="仿宋_GB2312" w:eastAsia="仿宋_GB2312"/>
                <w:sz w:val="20"/>
              </w:rPr>
              <w:t xml:space="preserve">       a.声音和画面同步。</w:t>
            </w:r>
          </w:p>
          <w:p>
            <w:pPr>
              <w:pStyle w:val="null3"/>
              <w:jc w:val="both"/>
            </w:pPr>
            <w:r>
              <w:rPr>
                <w:rFonts w:ascii="仿宋_GB2312" w:hAnsi="仿宋_GB2312" w:cs="仿宋_GB2312" w:eastAsia="仿宋_GB2312"/>
                <w:sz w:val="20"/>
              </w:rPr>
              <w:t xml:space="preserve">       b.双声道。</w:t>
            </w:r>
          </w:p>
          <w:p>
            <w:pPr>
              <w:pStyle w:val="null3"/>
              <w:jc w:val="both"/>
            </w:pPr>
            <w:r>
              <w:rPr>
                <w:rFonts w:ascii="仿宋_GB2312" w:hAnsi="仿宋_GB2312" w:cs="仿宋_GB2312" w:eastAsia="仿宋_GB2312"/>
                <w:sz w:val="20"/>
              </w:rPr>
              <w:t xml:space="preserve">       c.声音无明显失真、无明显噪音、回声或其它杂音，无音量忽大忽小现象。</w:t>
            </w:r>
            <w:r>
              <w:rPr>
                <w:rFonts w:ascii="仿宋_GB2312" w:hAnsi="仿宋_GB2312" w:cs="仿宋_GB2312" w:eastAsia="仿宋_GB2312"/>
                <w:sz w:val="20"/>
              </w:rPr>
              <w:t>(d)伴音清晰、饱满、圆润，解说声与现场声无明显比例失调，解说声与背景音乐无明显比例失调。</w:t>
            </w:r>
          </w:p>
          <w:p>
            <w:pPr>
              <w:pStyle w:val="null3"/>
              <w:jc w:val="both"/>
            </w:pPr>
            <w:r>
              <w:rPr>
                <w:rFonts w:ascii="仿宋_GB2312" w:hAnsi="仿宋_GB2312" w:cs="仿宋_GB2312" w:eastAsia="仿宋_GB2312"/>
                <w:sz w:val="20"/>
              </w:rPr>
              <w:t xml:space="preserve">       d.背景音乐需要与课程学习相匹配，与教师声音、配音以及其他音频资料，整体和谐。</w:t>
            </w:r>
          </w:p>
          <w:p>
            <w:pPr>
              <w:pStyle w:val="null3"/>
              <w:jc w:val="both"/>
            </w:pPr>
            <w:r>
              <w:rPr>
                <w:rFonts w:ascii="仿宋_GB2312" w:hAnsi="仿宋_GB2312" w:cs="仿宋_GB2312" w:eastAsia="仿宋_GB2312"/>
                <w:sz w:val="20"/>
              </w:rPr>
              <w:t xml:space="preserve">       f.</w:t>
            </w:r>
            <w:r>
              <w:rPr>
                <w:rFonts w:ascii="仿宋_GB2312" w:hAnsi="仿宋_GB2312" w:cs="仿宋_GB2312" w:eastAsia="仿宋_GB2312"/>
                <w:sz w:val="20"/>
              </w:rPr>
              <w:t>无其它声音质量问题。</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.5视频拍摄</w:t>
            </w:r>
          </w:p>
          <w:p>
            <w:pPr>
              <w:pStyle w:val="null3"/>
              <w:jc w:val="both"/>
            </w:pPr>
            <w:r>
              <w:rPr>
                <w:rFonts w:ascii="仿宋_GB2312" w:hAnsi="仿宋_GB2312" w:cs="仿宋_GB2312" w:eastAsia="仿宋_GB2312"/>
                <w:sz w:val="20"/>
              </w:rPr>
              <w:t>拍摄场景选择：根据拍摄形式选择在摄影棚、专业录播室、教学触摸一体机、实景场地、休息室或纯色背景前拍摄。与课程内容相关的实践、生产、经营类知识点以实景拍摄为主，且会保证录制现场光线充足、环境安静、整洁，避免在镜头中出现有广告嫌疑或与课程无关的标识等内容。</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.6视频剪辑与包装</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.6.1视频剪辑</w:t>
            </w:r>
          </w:p>
          <w:p>
            <w:pPr>
              <w:pStyle w:val="null3"/>
              <w:jc w:val="both"/>
            </w:pPr>
            <w:r>
              <w:rPr>
                <w:rFonts w:ascii="仿宋_GB2312" w:hAnsi="仿宋_GB2312" w:cs="仿宋_GB2312" w:eastAsia="仿宋_GB2312"/>
                <w:sz w:val="20"/>
              </w:rPr>
              <w:t>(1)视频编码方式:视频压缩采用H.264/AVC编码方式，封装格式采用MP4。</w:t>
            </w:r>
          </w:p>
          <w:p>
            <w:pPr>
              <w:pStyle w:val="null3"/>
              <w:jc w:val="both"/>
            </w:pPr>
            <w:r>
              <w:rPr>
                <w:rFonts w:ascii="仿宋_GB2312" w:hAnsi="仿宋_GB2312" w:cs="仿宋_GB2312" w:eastAsia="仿宋_GB2312"/>
                <w:sz w:val="20"/>
              </w:rPr>
              <w:t>(2)视频分辨率:画面宽高比16:9，分辨率不低于1280x720，建议采用1920×1080分辨率，单个文件体积不大于800M。</w:t>
            </w:r>
          </w:p>
          <w:p>
            <w:pPr>
              <w:pStyle w:val="null3"/>
              <w:jc w:val="both"/>
            </w:pPr>
            <w:r>
              <w:rPr>
                <w:rFonts w:ascii="仿宋_GB2312" w:hAnsi="仿宋_GB2312" w:cs="仿宋_GB2312" w:eastAsia="仿宋_GB2312"/>
                <w:sz w:val="20"/>
              </w:rPr>
              <w:t>(3)视频码率:码率不低于5Mbps，建议采用8Mbps码率。(bps:每秒比特数)</w:t>
            </w:r>
          </w:p>
          <w:p>
            <w:pPr>
              <w:pStyle w:val="null3"/>
              <w:jc w:val="both"/>
            </w:pPr>
            <w:r>
              <w:rPr>
                <w:rFonts w:ascii="仿宋_GB2312" w:hAnsi="仿宋_GB2312" w:cs="仿宋_GB2312" w:eastAsia="仿宋_GB2312"/>
                <w:sz w:val="20"/>
              </w:rPr>
              <w:t>(4)视频帧率: PAL制，25帧/秒，扫描方式为逐行扫描。</w:t>
            </w:r>
          </w:p>
          <w:p>
            <w:pPr>
              <w:pStyle w:val="null3"/>
              <w:jc w:val="both"/>
            </w:pPr>
            <w:r>
              <w:rPr>
                <w:rFonts w:ascii="仿宋_GB2312" w:hAnsi="仿宋_GB2312" w:cs="仿宋_GB2312" w:eastAsia="仿宋_GB2312"/>
                <w:sz w:val="20"/>
              </w:rPr>
              <w:t>(5)图像效果:</w:t>
            </w:r>
          </w:p>
          <w:p>
            <w:pPr>
              <w:pStyle w:val="null3"/>
              <w:jc w:val="both"/>
            </w:pPr>
            <w:r>
              <w:rPr>
                <w:rFonts w:ascii="仿宋_GB2312" w:hAnsi="仿宋_GB2312" w:cs="仿宋_GB2312" w:eastAsia="仿宋_GB2312"/>
                <w:sz w:val="20"/>
              </w:rPr>
              <w:t>①图像不过亮、过暗;</w:t>
            </w:r>
          </w:p>
          <w:p>
            <w:pPr>
              <w:pStyle w:val="null3"/>
              <w:jc w:val="both"/>
            </w:pPr>
            <w:r>
              <w:rPr>
                <w:rFonts w:ascii="仿宋_GB2312" w:hAnsi="仿宋_GB2312" w:cs="仿宋_GB2312" w:eastAsia="仿宋_GB2312"/>
                <w:sz w:val="20"/>
              </w:rPr>
              <w:t>②人、物移动时无拖影、耀光现象;</w:t>
            </w:r>
          </w:p>
          <w:p>
            <w:pPr>
              <w:pStyle w:val="null3"/>
              <w:jc w:val="both"/>
            </w:pPr>
            <w:r>
              <w:rPr>
                <w:rFonts w:ascii="仿宋_GB2312" w:hAnsi="仿宋_GB2312" w:cs="仿宋_GB2312" w:eastAsia="仿宋_GB2312"/>
                <w:sz w:val="20"/>
              </w:rPr>
              <w:t>③图像无抖动跳跃，色彩无突变，编辑点处图像稳定，画面剪辑衔接自然，无空白帧。</w:t>
            </w:r>
          </w:p>
          <w:p>
            <w:pPr>
              <w:pStyle w:val="null3"/>
              <w:jc w:val="both"/>
            </w:pPr>
            <w:r>
              <w:rPr>
                <w:rFonts w:ascii="仿宋_GB2312" w:hAnsi="仿宋_GB2312" w:cs="仿宋_GB2312" w:eastAsia="仿宋_GB2312"/>
                <w:sz w:val="20"/>
              </w:rPr>
              <w:t>④白平衡正确，无明显偏色。</w:t>
            </w:r>
          </w:p>
          <w:p>
            <w:pPr>
              <w:pStyle w:val="null3"/>
              <w:jc w:val="both"/>
            </w:pPr>
            <w:r>
              <w:rPr>
                <w:rFonts w:ascii="仿宋_GB2312" w:hAnsi="仿宋_GB2312" w:cs="仿宋_GB2312" w:eastAsia="仿宋_GB2312"/>
                <w:sz w:val="20"/>
              </w:rPr>
              <w:t>⑤无其它图像质量问题。</w:t>
            </w:r>
          </w:p>
          <w:p>
            <w:pPr>
              <w:pStyle w:val="null3"/>
              <w:jc w:val="both"/>
            </w:pPr>
            <w:r>
              <w:rPr>
                <w:rFonts w:ascii="仿宋_GB2312" w:hAnsi="仿宋_GB2312" w:cs="仿宋_GB2312" w:eastAsia="仿宋_GB2312"/>
                <w:sz w:val="20"/>
              </w:rPr>
              <w:t>(6)音频编码:采用高级音频编码AAC (Advanced Audio Coding)。</w:t>
            </w:r>
          </w:p>
          <w:p>
            <w:pPr>
              <w:pStyle w:val="null3"/>
              <w:jc w:val="both"/>
            </w:pPr>
            <w:r>
              <w:rPr>
                <w:rFonts w:ascii="仿宋_GB2312" w:hAnsi="仿宋_GB2312" w:cs="仿宋_GB2312" w:eastAsia="仿宋_GB2312"/>
                <w:sz w:val="20"/>
              </w:rPr>
              <w:t>(7)音频采样率:不低于48KHz。</w:t>
            </w:r>
          </w:p>
          <w:p>
            <w:pPr>
              <w:pStyle w:val="null3"/>
              <w:jc w:val="both"/>
            </w:pPr>
            <w:r>
              <w:rPr>
                <w:rFonts w:ascii="仿宋_GB2312" w:hAnsi="仿宋_GB2312" w:cs="仿宋_GB2312" w:eastAsia="仿宋_GB2312"/>
                <w:sz w:val="20"/>
              </w:rPr>
              <w:t>(8)音频码流率:建议不低于128Kbps。</w:t>
            </w:r>
          </w:p>
          <w:p>
            <w:pPr>
              <w:pStyle w:val="null3"/>
              <w:jc w:val="both"/>
            </w:pPr>
            <w:r>
              <w:rPr>
                <w:rFonts w:ascii="仿宋_GB2312" w:hAnsi="仿宋_GB2312" w:cs="仿宋_GB2312" w:eastAsia="仿宋_GB2312"/>
                <w:sz w:val="20"/>
              </w:rPr>
              <w:t>(9)音频信噪比：不低于48db。</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.6.2视频包装</w:t>
            </w:r>
          </w:p>
          <w:p>
            <w:pPr>
              <w:pStyle w:val="null3"/>
              <w:jc w:val="both"/>
            </w:pPr>
            <w:r>
              <w:rPr>
                <w:rFonts w:ascii="仿宋_GB2312" w:hAnsi="仿宋_GB2312" w:cs="仿宋_GB2312" w:eastAsia="仿宋_GB2312"/>
                <w:sz w:val="20"/>
              </w:rPr>
              <w:t>(1)视频素材</w:t>
            </w:r>
          </w:p>
          <w:p>
            <w:pPr>
              <w:pStyle w:val="null3"/>
              <w:jc w:val="both"/>
            </w:pPr>
            <w:r>
              <w:rPr>
                <w:rFonts w:ascii="仿宋_GB2312" w:hAnsi="仿宋_GB2312" w:cs="仿宋_GB2312" w:eastAsia="仿宋_GB2312"/>
                <w:sz w:val="20"/>
              </w:rPr>
              <w:t>用于课程的视频、图片等资料选用高质量、清晰的，尽量与课程视频分辨率相匹配。若用</w:t>
            </w:r>
            <w:r>
              <w:rPr>
                <w:rFonts w:ascii="仿宋_GB2312" w:hAnsi="仿宋_GB2312" w:cs="仿宋_GB2312" w:eastAsia="仿宋_GB2312"/>
                <w:sz w:val="20"/>
              </w:rPr>
              <w:t>PPT作为素材的，PPT的宽高比设置为16:9，排版美观，画面和谐精美。</w:t>
            </w:r>
          </w:p>
          <w:p>
            <w:pPr>
              <w:pStyle w:val="null3"/>
              <w:jc w:val="both"/>
            </w:pPr>
            <w:r>
              <w:rPr>
                <w:rFonts w:ascii="仿宋_GB2312" w:hAnsi="仿宋_GB2312" w:cs="仿宋_GB2312" w:eastAsia="仿宋_GB2312"/>
                <w:sz w:val="20"/>
              </w:rPr>
              <w:t>(2)动画、文字</w:t>
            </w:r>
          </w:p>
          <w:p>
            <w:pPr>
              <w:pStyle w:val="null3"/>
              <w:jc w:val="both"/>
            </w:pPr>
            <w:r>
              <w:rPr>
                <w:rFonts w:ascii="仿宋_GB2312" w:hAnsi="仿宋_GB2312" w:cs="仿宋_GB2312" w:eastAsia="仿宋_GB2312"/>
                <w:sz w:val="20"/>
              </w:rPr>
              <w:t>后期制作的动画、显示的文字，不能出现错误，同一门课程中字体风格一致。</w:t>
            </w:r>
          </w:p>
          <w:p>
            <w:pPr>
              <w:pStyle w:val="null3"/>
              <w:jc w:val="both"/>
            </w:pPr>
            <w:r>
              <w:rPr>
                <w:rFonts w:ascii="仿宋_GB2312" w:hAnsi="仿宋_GB2312" w:cs="仿宋_GB2312" w:eastAsia="仿宋_GB2312"/>
                <w:sz w:val="20"/>
              </w:rPr>
              <w:t>(3)片头</w:t>
            </w:r>
          </w:p>
          <w:p>
            <w:pPr>
              <w:pStyle w:val="null3"/>
              <w:jc w:val="both"/>
            </w:pPr>
            <w:r>
              <w:rPr>
                <w:rFonts w:ascii="仿宋_GB2312" w:hAnsi="仿宋_GB2312" w:cs="仿宋_GB2312" w:eastAsia="仿宋_GB2312"/>
                <w:sz w:val="20"/>
              </w:rPr>
              <w:t>①片头需要原创，建议片头长度不超过15秒。一个教学单元内，如果有多个视频，建议仅在第一个视频加片头，可在每个视频后加片尾。</w:t>
            </w:r>
          </w:p>
          <w:p>
            <w:pPr>
              <w:pStyle w:val="null3"/>
              <w:jc w:val="both"/>
            </w:pPr>
            <w:r>
              <w:rPr>
                <w:rFonts w:ascii="仿宋_GB2312" w:hAnsi="仿宋_GB2312" w:cs="仿宋_GB2312" w:eastAsia="仿宋_GB2312"/>
                <w:sz w:val="20"/>
              </w:rPr>
              <w:t>②片头包含学校特色素材，体现学校相应课程特色。</w:t>
            </w:r>
          </w:p>
          <w:p>
            <w:pPr>
              <w:pStyle w:val="null3"/>
              <w:jc w:val="both"/>
            </w:pPr>
            <w:r>
              <w:rPr>
                <w:rFonts w:ascii="仿宋_GB2312" w:hAnsi="仿宋_GB2312" w:cs="仿宋_GB2312" w:eastAsia="仿宋_GB2312"/>
                <w:sz w:val="20"/>
              </w:rPr>
              <w:t>③片头出现的学校LOGO、名字等素材不失真、变形。</w:t>
            </w:r>
          </w:p>
          <w:p>
            <w:pPr>
              <w:pStyle w:val="null3"/>
              <w:jc w:val="both"/>
            </w:pPr>
            <w:r>
              <w:rPr>
                <w:rFonts w:ascii="仿宋_GB2312" w:hAnsi="仿宋_GB2312" w:cs="仿宋_GB2312" w:eastAsia="仿宋_GB2312"/>
                <w:sz w:val="20"/>
              </w:rPr>
              <w:t>(4)视频长度</w:t>
            </w:r>
          </w:p>
          <w:p>
            <w:pPr>
              <w:pStyle w:val="null3"/>
              <w:jc w:val="both"/>
            </w:pPr>
            <w:r>
              <w:rPr>
                <w:rFonts w:ascii="仿宋_GB2312" w:hAnsi="仿宋_GB2312" w:cs="仿宋_GB2312" w:eastAsia="仿宋_GB2312"/>
                <w:sz w:val="20"/>
              </w:rPr>
              <w:t>课程介绍时长</w:t>
            </w:r>
            <w:r>
              <w:rPr>
                <w:rFonts w:ascii="仿宋_GB2312" w:hAnsi="仿宋_GB2312" w:cs="仿宋_GB2312" w:eastAsia="仿宋_GB2312"/>
                <w:sz w:val="20"/>
              </w:rPr>
              <w:t>5分钟左右，单个微课视频长度为5-8分钟。</w:t>
            </w:r>
          </w:p>
          <w:p>
            <w:pPr>
              <w:pStyle w:val="null3"/>
              <w:jc w:val="both"/>
            </w:pPr>
            <w:r>
              <w:rPr>
                <w:rFonts w:ascii="仿宋_GB2312" w:hAnsi="仿宋_GB2312" w:cs="仿宋_GB2312" w:eastAsia="仿宋_GB2312"/>
                <w:sz w:val="20"/>
              </w:rPr>
              <w:t>(5)动画资源制作</w:t>
            </w:r>
          </w:p>
          <w:p>
            <w:pPr>
              <w:pStyle w:val="null3"/>
              <w:jc w:val="both"/>
            </w:pPr>
            <w:r>
              <w:rPr>
                <w:rFonts w:ascii="仿宋_GB2312" w:hAnsi="仿宋_GB2312" w:cs="仿宋_GB2312" w:eastAsia="仿宋_GB2312"/>
                <w:sz w:val="20"/>
              </w:rPr>
              <w:t>动画资源主要包括二维动画以及三维动画，动画资源的开发由课程教师根据教学内容编写动画需求，教学设计确认需求后，完成动画脚本，并由专家顾问与课程教师审核，确认无误后进入动画资源的开发与制作，制作完成的动画资源将由课程老师审核，提出修改意见，最终成品经质检合格。</w:t>
            </w:r>
          </w:p>
          <w:p>
            <w:pPr>
              <w:pStyle w:val="null3"/>
              <w:jc w:val="both"/>
            </w:pPr>
            <w:r>
              <w:rPr>
                <w:rFonts w:ascii="仿宋_GB2312" w:hAnsi="仿宋_GB2312" w:cs="仿宋_GB2312" w:eastAsia="仿宋_GB2312"/>
                <w:sz w:val="20"/>
              </w:rPr>
              <w:t>(6)数字人资源制作</w:t>
            </w:r>
          </w:p>
          <w:p>
            <w:pPr>
              <w:pStyle w:val="null3"/>
              <w:jc w:val="both"/>
            </w:pPr>
            <w:r>
              <w:rPr>
                <w:rFonts w:ascii="仿宋_GB2312" w:hAnsi="仿宋_GB2312" w:cs="仿宋_GB2312" w:eastAsia="仿宋_GB2312"/>
                <w:sz w:val="20"/>
              </w:rPr>
              <w:t>数字人资源，即以数字化形式呈现的人物形象，数字人资源的开发由课程教师根据教学内容编写数字人需求，教学设计确认需求后，完成数字人脚本，并由专家顾问与课程教师审核，确认无误后进入数字人资源的开发与制作，制作完成的数字人资源将由课程老师审核。</w:t>
            </w:r>
          </w:p>
          <w:p>
            <w:pPr>
              <w:pStyle w:val="null3"/>
              <w:jc w:val="both"/>
            </w:pPr>
            <w:r>
              <w:rPr>
                <w:rFonts w:ascii="仿宋_GB2312" w:hAnsi="仿宋_GB2312" w:cs="仿宋_GB2312" w:eastAsia="仿宋_GB2312"/>
                <w:sz w:val="20"/>
              </w:rPr>
              <w:t>(7)字幕（唱词）制作</w:t>
            </w:r>
          </w:p>
          <w:p>
            <w:pPr>
              <w:pStyle w:val="null3"/>
              <w:jc w:val="both"/>
            </w:pPr>
            <w:r>
              <w:rPr>
                <w:rFonts w:ascii="仿宋_GB2312" w:hAnsi="仿宋_GB2312" w:cs="仿宋_GB2312" w:eastAsia="仿宋_GB2312"/>
                <w:sz w:val="20"/>
              </w:rPr>
              <w:t>①文件格式: SRT封装格式，UTF-8编码，每个视频文件对应独立的SRT文件。</w:t>
            </w:r>
          </w:p>
          <w:p>
            <w:pPr>
              <w:pStyle w:val="null3"/>
              <w:jc w:val="both"/>
            </w:pPr>
            <w:r>
              <w:rPr>
                <w:rFonts w:ascii="仿宋_GB2312" w:hAnsi="仿宋_GB2312" w:cs="仿宋_GB2312" w:eastAsia="仿宋_GB2312"/>
                <w:sz w:val="20"/>
              </w:rPr>
              <w:t>②唱词的行数、字数标准:每屏只有一行唱词，每行不超过20个字。</w:t>
            </w:r>
          </w:p>
          <w:p>
            <w:pPr>
              <w:pStyle w:val="null3"/>
              <w:jc w:val="both"/>
            </w:pPr>
            <w:r>
              <w:rPr>
                <w:rFonts w:ascii="仿宋_GB2312" w:hAnsi="仿宋_GB2312" w:cs="仿宋_GB2312" w:eastAsia="仿宋_GB2312"/>
                <w:sz w:val="20"/>
              </w:rPr>
              <w:t>③唱词的断句:不简单按照字数断句，以内容为断句依据。</w:t>
            </w:r>
          </w:p>
          <w:p>
            <w:pPr>
              <w:pStyle w:val="null3"/>
              <w:jc w:val="both"/>
            </w:pPr>
            <w:r>
              <w:rPr>
                <w:rFonts w:ascii="仿宋_GB2312" w:hAnsi="仿宋_GB2312" w:cs="仿宋_GB2312" w:eastAsia="仿宋_GB2312"/>
                <w:sz w:val="20"/>
              </w:rPr>
              <w:t>④唱词时间轴对应:唱词文字出现的时间与视频声音一致。</w:t>
            </w:r>
          </w:p>
          <w:p>
            <w:pPr>
              <w:pStyle w:val="null3"/>
              <w:jc w:val="both"/>
            </w:pPr>
            <w:r>
              <w:rPr>
                <w:rFonts w:ascii="仿宋_GB2312" w:hAnsi="仿宋_GB2312" w:cs="仿宋_GB2312" w:eastAsia="仿宋_GB2312"/>
                <w:sz w:val="20"/>
              </w:rPr>
              <w:t>⑤唱词的文字内容:唱词文字使用符合国家标准的规范字，除特殊情况下不出现繁体字、异体字、错别字。唱词文字错误率不能超过1%。</w:t>
            </w:r>
          </w:p>
          <w:p>
            <w:pPr>
              <w:pStyle w:val="null3"/>
              <w:jc w:val="both"/>
            </w:pPr>
            <w:r>
              <w:rPr>
                <w:rFonts w:ascii="仿宋_GB2312" w:hAnsi="仿宋_GB2312" w:cs="仿宋_GB2312" w:eastAsia="仿宋_GB2312"/>
                <w:sz w:val="20"/>
              </w:rPr>
              <w:t>⑥唱词中的标点符号:只有书名号及书名号中的标点、间隔号、连接号、具有特殊含意的词语的引号出现在唱词中，在每屏唱词中用空格(半角)代替标点表示语气停顿。</w:t>
            </w:r>
          </w:p>
          <w:p>
            <w:pPr>
              <w:pStyle w:val="null3"/>
              <w:jc w:val="both"/>
            </w:pPr>
            <w:r>
              <w:rPr>
                <w:rFonts w:ascii="仿宋_GB2312" w:hAnsi="仿宋_GB2312" w:cs="仿宋_GB2312" w:eastAsia="仿宋_GB2312"/>
                <w:sz w:val="20"/>
              </w:rPr>
              <w:t>⑦唱词中的数学公式、物理量和单位，尽量以文本文字呈现；不宜用文本文字呈现的且在视频画面中已经通过PPT、板书等方式显示清楚的，可以不加该行唱词。</w:t>
            </w:r>
          </w:p>
          <w:p>
            <w:pPr>
              <w:pStyle w:val="null3"/>
              <w:jc w:val="both"/>
            </w:pPr>
            <w:r>
              <w:rPr>
                <w:rFonts w:ascii="仿宋_GB2312" w:hAnsi="仿宋_GB2312" w:cs="仿宋_GB2312" w:eastAsia="仿宋_GB2312"/>
                <w:sz w:val="20"/>
              </w:rPr>
              <w:t>⑧唱词文字:一般情况下使用中文字幕，有特殊需求的课程(双语课程等)，除制作中文唱词外，还制作英文唱词。</w:t>
            </w:r>
          </w:p>
          <w:p>
            <w:pPr>
              <w:pStyle w:val="null3"/>
              <w:jc w:val="both"/>
            </w:pPr>
            <w:r>
              <w:rPr>
                <w:rFonts w:ascii="仿宋_GB2312" w:hAnsi="仿宋_GB2312" w:cs="仿宋_GB2312" w:eastAsia="仿宋_GB2312"/>
                <w:sz w:val="20"/>
              </w:rPr>
              <w:t>⑨多语种唱词应用多个SRT文件封装(如中英文双唱词，可配1个中文SRT文件和1个英文SRT文件)。</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.7 AI学伴、互动答疑、题库管理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1）AI学伴：</w:t>
            </w:r>
          </w:p>
          <w:p>
            <w:pPr>
              <w:pStyle w:val="null3"/>
              <w:jc w:val="both"/>
            </w:pPr>
            <w:r>
              <w:rPr>
                <w:rFonts w:ascii="仿宋_GB2312" w:hAnsi="仿宋_GB2312" w:cs="仿宋_GB2312" w:eastAsia="仿宋_GB2312"/>
                <w:sz w:val="20"/>
              </w:rPr>
              <w:t>学习平台需设置</w:t>
            </w:r>
            <w:r>
              <w:rPr>
                <w:rFonts w:ascii="仿宋_GB2312" w:hAnsi="仿宋_GB2312" w:cs="仿宋_GB2312" w:eastAsia="仿宋_GB2312"/>
                <w:sz w:val="20"/>
              </w:rPr>
              <w:t>AI学伴，具备智能问答、个性化学习支持等核心功能，可实现自然语言对话交互，如多学科知识解答、智能评测、课程内容智能摘要、个性化推荐学习资源等，同时配置虚拟形象，增进互动学习体验。此外还包括以下相关功能：</w:t>
            </w:r>
          </w:p>
          <w:p>
            <w:pPr>
              <w:pStyle w:val="null3"/>
              <w:jc w:val="both"/>
            </w:pPr>
            <w:r>
              <w:rPr>
                <w:rFonts w:ascii="仿宋_GB2312" w:hAnsi="仿宋_GB2312" w:cs="仿宋_GB2312" w:eastAsia="仿宋_GB2312"/>
                <w:sz w:val="20"/>
              </w:rPr>
              <w:t>智能辅导：基于知识图谱的自然语言问答系统，为学生提供智能辅导服务，解答学生在学习过程中遇到的问题。</w:t>
            </w:r>
          </w:p>
          <w:p>
            <w:pPr>
              <w:pStyle w:val="null3"/>
              <w:jc w:val="both"/>
            </w:pPr>
            <w:r>
              <w:rPr>
                <w:rFonts w:ascii="仿宋_GB2312" w:hAnsi="仿宋_GB2312" w:cs="仿宋_GB2312" w:eastAsia="仿宋_GB2312"/>
                <w:sz w:val="20"/>
              </w:rPr>
              <w:t>教学辅助：辅助教师进行教学设计、教案生成、教学资源推荐、教学活动组织等教学工作。</w:t>
            </w:r>
          </w:p>
          <w:p>
            <w:pPr>
              <w:pStyle w:val="null3"/>
              <w:jc w:val="both"/>
            </w:pPr>
            <w:r>
              <w:rPr>
                <w:rFonts w:ascii="仿宋_GB2312" w:hAnsi="仿宋_GB2312" w:cs="仿宋_GB2312" w:eastAsia="仿宋_GB2312"/>
                <w:sz w:val="20"/>
              </w:rPr>
              <w:t>个性化推荐：根据学生者画像，为学生提供个性化的学习方案和资源推荐。多模态交互：支持语音、文字、图像混合输入。</w:t>
            </w:r>
          </w:p>
          <w:p>
            <w:pPr>
              <w:pStyle w:val="null3"/>
              <w:jc w:val="both"/>
            </w:pPr>
            <w:r>
              <w:rPr>
                <w:rFonts w:ascii="仿宋_GB2312" w:hAnsi="仿宋_GB2312" w:cs="仿宋_GB2312" w:eastAsia="仿宋_GB2312"/>
                <w:sz w:val="20"/>
              </w:rPr>
              <w:t>知识库构建：自动整合教学资源和常见问题。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2）互动答疑</w:t>
            </w:r>
          </w:p>
          <w:p>
            <w:pPr>
              <w:pStyle w:val="null3"/>
              <w:jc w:val="both"/>
            </w:pPr>
            <w:r>
              <w:rPr>
                <w:rFonts w:ascii="仿宋_GB2312" w:hAnsi="仿宋_GB2312" w:cs="仿宋_GB2312" w:eastAsia="仿宋_GB2312"/>
                <w:sz w:val="20"/>
              </w:rPr>
              <w:t>通过多模态交互（视频</w:t>
            </w:r>
            <w:r>
              <w:rPr>
                <w:rFonts w:ascii="仿宋_GB2312" w:hAnsi="仿宋_GB2312" w:cs="仿宋_GB2312" w:eastAsia="仿宋_GB2312"/>
                <w:sz w:val="20"/>
              </w:rPr>
              <w:t>/3D演示）模拟实训场景，例如机械操作、医疗流程等沉浸式学习。数字人支持实时问答互动，学员可随时打断提问，增强学习主动性。沉淀金牌教师授课话术与教学方法，形成标准化数字课程库。通过3D数字人进行虚拟实操训练，降低实训风险。支持7×24小时云端访问，学员可通过扫码随时复训。此外，还涉及前置问题引导学生分享需求及感兴趣点，对应分享场景案例，推荐与需求匹配的内容，常规问题答疑和解除疑虑。</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3）题库管理</w:t>
            </w:r>
          </w:p>
          <w:p>
            <w:pPr>
              <w:pStyle w:val="null3"/>
              <w:jc w:val="both"/>
            </w:pPr>
            <w:r>
              <w:rPr>
                <w:rFonts w:ascii="仿宋_GB2312" w:hAnsi="仿宋_GB2312" w:cs="仿宋_GB2312" w:eastAsia="仿宋_GB2312"/>
                <w:sz w:val="20"/>
              </w:rPr>
              <w:t>题库管理功能包括试题创建、知识点标注、试题选用、批量导入的功能。</w:t>
            </w:r>
          </w:p>
          <w:p>
            <w:pPr>
              <w:pStyle w:val="null3"/>
              <w:jc w:val="both"/>
            </w:pPr>
            <w:r>
              <w:rPr>
                <w:rFonts w:ascii="仿宋_GB2312" w:hAnsi="仿宋_GB2312" w:cs="仿宋_GB2312" w:eastAsia="仿宋_GB2312"/>
                <w:sz w:val="20"/>
              </w:rPr>
              <w:t>a.试题创建</w:t>
            </w:r>
          </w:p>
          <w:p>
            <w:pPr>
              <w:pStyle w:val="null3"/>
              <w:jc w:val="both"/>
            </w:pPr>
            <w:r>
              <w:rPr>
                <w:rFonts w:ascii="仿宋_GB2312" w:hAnsi="仿宋_GB2312" w:cs="仿宋_GB2312" w:eastAsia="仿宋_GB2312"/>
                <w:sz w:val="20"/>
              </w:rPr>
              <w:t>多种题型：支持创建多种类型的试题，包括选择题、填空题、简答题等</w:t>
            </w:r>
          </w:p>
          <w:p>
            <w:pPr>
              <w:pStyle w:val="null3"/>
              <w:jc w:val="both"/>
            </w:pPr>
            <w:r>
              <w:rPr>
                <w:rFonts w:ascii="仿宋_GB2312" w:hAnsi="仿宋_GB2312" w:cs="仿宋_GB2312" w:eastAsia="仿宋_GB2312"/>
                <w:sz w:val="20"/>
              </w:rPr>
              <w:t>可扩展自定义题型结构。</w:t>
            </w:r>
          </w:p>
          <w:p>
            <w:pPr>
              <w:pStyle w:val="null3"/>
              <w:jc w:val="both"/>
            </w:pPr>
            <w:r>
              <w:rPr>
                <w:rFonts w:ascii="仿宋_GB2312" w:hAnsi="仿宋_GB2312" w:cs="仿宋_GB2312" w:eastAsia="仿宋_GB2312"/>
                <w:sz w:val="20"/>
              </w:rPr>
              <w:t>富文本编辑：内嵌公式编辑器、代码高亮、绘图工具，满足理科</w:t>
            </w:r>
            <w:r>
              <w:rPr>
                <w:rFonts w:ascii="仿宋_GB2312" w:hAnsi="仿宋_GB2312" w:cs="仿宋_GB2312" w:eastAsia="仿宋_GB2312"/>
                <w:sz w:val="20"/>
              </w:rPr>
              <w:t>/工科题型需求。</w:t>
            </w:r>
          </w:p>
          <w:p>
            <w:pPr>
              <w:pStyle w:val="null3"/>
              <w:jc w:val="both"/>
            </w:pPr>
            <w:r>
              <w:rPr>
                <w:rFonts w:ascii="仿宋_GB2312" w:hAnsi="仿宋_GB2312" w:cs="仿宋_GB2312" w:eastAsia="仿宋_GB2312"/>
                <w:sz w:val="20"/>
              </w:rPr>
              <w:t>智能辅助：基于知识点图谱自动生成原创试题。提供智能辅助工具，如题目模板、自动排版等功能，提高试题创建的效率。</w:t>
            </w:r>
          </w:p>
          <w:p>
            <w:pPr>
              <w:pStyle w:val="null3"/>
              <w:jc w:val="both"/>
            </w:pPr>
            <w:r>
              <w:rPr>
                <w:rFonts w:ascii="仿宋_GB2312" w:hAnsi="仿宋_GB2312" w:cs="仿宋_GB2312" w:eastAsia="仿宋_GB2312"/>
                <w:sz w:val="20"/>
              </w:rPr>
              <w:t>b.知识点标注</w:t>
            </w:r>
          </w:p>
          <w:p>
            <w:pPr>
              <w:pStyle w:val="null3"/>
              <w:jc w:val="both"/>
            </w:pPr>
            <w:r>
              <w:rPr>
                <w:rFonts w:ascii="仿宋_GB2312" w:hAnsi="仿宋_GB2312" w:cs="仿宋_GB2312" w:eastAsia="仿宋_GB2312"/>
                <w:sz w:val="20"/>
              </w:rPr>
              <w:t>自动标注：能够根据试题内容自动识别和标注所涉及的知识点。</w:t>
            </w:r>
          </w:p>
          <w:p>
            <w:pPr>
              <w:pStyle w:val="null3"/>
              <w:jc w:val="both"/>
            </w:pPr>
            <w:r>
              <w:rPr>
                <w:rFonts w:ascii="仿宋_GB2312" w:hAnsi="仿宋_GB2312" w:cs="仿宋_GB2312" w:eastAsia="仿宋_GB2312"/>
                <w:sz w:val="20"/>
              </w:rPr>
              <w:t>手动调整：教师可以手动对知识点标注进行调整和补充，确保标注的准确性和完整性。</w:t>
            </w:r>
          </w:p>
          <w:p>
            <w:pPr>
              <w:pStyle w:val="null3"/>
              <w:jc w:val="both"/>
            </w:pPr>
            <w:r>
              <w:rPr>
                <w:rFonts w:ascii="仿宋_GB2312" w:hAnsi="仿宋_GB2312" w:cs="仿宋_GB2312" w:eastAsia="仿宋_GB2312"/>
                <w:sz w:val="20"/>
              </w:rPr>
              <w:t>题眼分析：通过语义分析识别试题考查的核心能力点（如计算思维、批判性分析）。</w:t>
            </w:r>
          </w:p>
          <w:p>
            <w:pPr>
              <w:pStyle w:val="null3"/>
              <w:jc w:val="both"/>
            </w:pPr>
            <w:r>
              <w:rPr>
                <w:rFonts w:ascii="仿宋_GB2312" w:hAnsi="仿宋_GB2312" w:cs="仿宋_GB2312" w:eastAsia="仿宋_GB2312"/>
                <w:sz w:val="20"/>
              </w:rPr>
              <w:t>c.试题选用</w:t>
            </w:r>
          </w:p>
          <w:p>
            <w:pPr>
              <w:pStyle w:val="null3"/>
              <w:jc w:val="both"/>
            </w:pPr>
            <w:r>
              <w:rPr>
                <w:rFonts w:ascii="仿宋_GB2312" w:hAnsi="仿宋_GB2312" w:cs="仿宋_GB2312" w:eastAsia="仿宋_GB2312"/>
                <w:sz w:val="20"/>
              </w:rPr>
              <w:t>智能推荐：根据教学需求和学生学习情况，平台智能推荐适合的试题。</w:t>
            </w:r>
          </w:p>
          <w:p>
            <w:pPr>
              <w:pStyle w:val="null3"/>
              <w:jc w:val="both"/>
            </w:pPr>
            <w:r>
              <w:rPr>
                <w:rFonts w:ascii="仿宋_GB2312" w:hAnsi="仿宋_GB2312" w:cs="仿宋_GB2312" w:eastAsia="仿宋_GB2312"/>
                <w:sz w:val="20"/>
              </w:rPr>
              <w:t>筛选功能：支持按照知识点、难度、题型等多种条件进行试题筛选，方便教师快速找到所需试题。</w:t>
            </w:r>
          </w:p>
          <w:p>
            <w:pPr>
              <w:pStyle w:val="null3"/>
              <w:jc w:val="both"/>
            </w:pPr>
            <w:r>
              <w:rPr>
                <w:rFonts w:ascii="仿宋_GB2312" w:hAnsi="仿宋_GB2312" w:cs="仿宋_GB2312" w:eastAsia="仿宋_GB2312"/>
                <w:sz w:val="20"/>
              </w:rPr>
              <w:t>智能组卷：基于教学目标自动生成试卷蓝图，平衡知识点分布与题型比例。</w:t>
            </w:r>
          </w:p>
          <w:p>
            <w:pPr>
              <w:pStyle w:val="null3"/>
              <w:jc w:val="both"/>
            </w:pPr>
            <w:r>
              <w:rPr>
                <w:rFonts w:ascii="仿宋_GB2312" w:hAnsi="仿宋_GB2312" w:cs="仿宋_GB2312" w:eastAsia="仿宋_GB2312"/>
                <w:sz w:val="20"/>
              </w:rPr>
              <w:t>d.批量导入</w:t>
            </w:r>
          </w:p>
          <w:p>
            <w:pPr>
              <w:pStyle w:val="null3"/>
              <w:jc w:val="both"/>
            </w:pPr>
            <w:r>
              <w:rPr>
                <w:rFonts w:ascii="仿宋_GB2312" w:hAnsi="仿宋_GB2312" w:cs="仿宋_GB2312" w:eastAsia="仿宋_GB2312"/>
                <w:sz w:val="20"/>
              </w:rPr>
              <w:t>格式支持：支持多种格式的试题文件批量导入，如</w:t>
            </w:r>
            <w:r>
              <w:rPr>
                <w:rFonts w:ascii="仿宋_GB2312" w:hAnsi="仿宋_GB2312" w:cs="仿宋_GB2312" w:eastAsia="仿宋_GB2312"/>
                <w:sz w:val="20"/>
              </w:rPr>
              <w:t>Excel、Word等。</w:t>
            </w:r>
          </w:p>
          <w:p>
            <w:pPr>
              <w:pStyle w:val="null3"/>
              <w:jc w:val="both"/>
            </w:pPr>
            <w:r>
              <w:rPr>
                <w:rFonts w:ascii="仿宋_GB2312" w:hAnsi="仿宋_GB2312" w:cs="仿宋_GB2312" w:eastAsia="仿宋_GB2312"/>
                <w:sz w:val="20"/>
              </w:rPr>
              <w:t>数据校验：在导入过程中进行数据校验，确保导入试题的完整性和准确性。</w:t>
            </w:r>
          </w:p>
          <w:p>
            <w:pPr>
              <w:pStyle w:val="null3"/>
              <w:jc w:val="both"/>
            </w:pPr>
            <w:r>
              <w:rPr>
                <w:rFonts w:ascii="仿宋_GB2312" w:hAnsi="仿宋_GB2312" w:cs="仿宋_GB2312" w:eastAsia="仿宋_GB2312"/>
                <w:sz w:val="20"/>
              </w:rPr>
              <w:t>预处理机制：自动去除重复试题、补全缺失字段。</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0"/>
              </w:rPr>
              <w:t>3.课程维护与推广</w:t>
            </w:r>
          </w:p>
          <w:p>
            <w:pPr>
              <w:pStyle w:val="null3"/>
              <w:jc w:val="both"/>
            </w:pPr>
            <w:r>
              <w:rPr>
                <w:rFonts w:ascii="仿宋_GB2312" w:hAnsi="仿宋_GB2312" w:cs="仿宋_GB2312" w:eastAsia="仿宋_GB2312"/>
                <w:sz w:val="20"/>
              </w:rPr>
              <w:t>成交供应商需在项目验收后的</w:t>
            </w:r>
            <w:r>
              <w:rPr>
                <w:rFonts w:ascii="仿宋_GB2312" w:hAnsi="仿宋_GB2312" w:cs="仿宋_GB2312" w:eastAsia="仿宋_GB2312"/>
                <w:sz w:val="20"/>
              </w:rPr>
              <w:t>3年内，持续为课程提供内容更新服务。针对行业政策的变化、技术的革新以及教学过程中反馈的问题，每学期至少进行一次全面审查，并更新相应的课程内容。中标方需协助学校进行课程推广，制定切实可行的推广方案，扩大课程影响力。</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0"/>
              </w:rPr>
              <w:t>4、交付时间</w:t>
            </w:r>
          </w:p>
          <w:p>
            <w:pPr>
              <w:pStyle w:val="null3"/>
              <w:jc w:val="both"/>
            </w:pPr>
            <w:r>
              <w:rPr>
                <w:rFonts w:ascii="仿宋_GB2312" w:hAnsi="仿宋_GB2312" w:cs="仿宋_GB2312" w:eastAsia="仿宋_GB2312"/>
                <w:sz w:val="20"/>
              </w:rPr>
              <w:t>1.合同签订后的120日内完成全部成品的交付工作。</w:t>
            </w:r>
          </w:p>
          <w:p>
            <w:pPr>
              <w:pStyle w:val="null3"/>
              <w:jc w:val="both"/>
            </w:pPr>
            <w:r>
              <w:rPr>
                <w:rFonts w:ascii="仿宋_GB2312" w:hAnsi="仿宋_GB2312" w:cs="仿宋_GB2312" w:eastAsia="仿宋_GB2312"/>
                <w:sz w:val="20"/>
              </w:rPr>
              <w:t>2.公司在拍摄和制作过程中须按照甲方的视频审核程序要求交付视频小样或成品。</w:t>
            </w:r>
          </w:p>
          <w:p>
            <w:pPr>
              <w:pStyle w:val="null3"/>
              <w:jc w:val="both"/>
            </w:pPr>
            <w:r>
              <w:rPr>
                <w:rFonts w:ascii="仿宋_GB2312" w:hAnsi="仿宋_GB2312" w:cs="仿宋_GB2312" w:eastAsia="仿宋_GB2312"/>
                <w:sz w:val="20"/>
              </w:rPr>
              <w:t>3.经初审、复审后，乙方交付的最终成品经国家开放大学组织专家审核验收后方可完成交付。课程成品不符合质量要求，没有通过专家审核的，须于收到反馈意见后10日内完成修改，并最终通过采购人的审核。</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服务期限：成果交付期：合同签订后的120日内完成全部成品的交付工作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陕西开放大学指定地点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甲方项目经国家开放大学组织专家审核验收合格并签署验收报告后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甲方项目自验收后运行满二个月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谢婷婷，联系电话：029-81206622/81206633-832）。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　《政府采购促进中小企业发展管理办法》的通知一财库(2020)46号; ②　财政部司法部关于政府采购支持监狱企业发展有关问题的通知一财库[2014]68号; ③　《财政部发展改革委生态环境部市场监管总局关于调整优化节能产品环境标志产品政府采购执行机制的通知》(财库(2019)9号); ④　《关于促进残疾人就业政府采购政策的通知》(财库[2017]141号); ⑤　《陕西省财政厅关于加快推进我省中小企业政府采购信用融资工作的通知》(陕财办采(2020)15 号): ⑥　《陕西省中小企业政府采购信用融资办法》陕财办采(2018)23号; ⑦　《关于运用政府采购政策支持乡村产业振兴的通知》(财库(2021)19 号); ⑧　《关于进一步加大政府采购支持中小企业力度的通知》(财库(2022)19号); ⑨　《陕西省财政厅关于进一步落实政府采购支持中小企业相关政策的通知》(陕财办采(2023)3号)</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标的清单 报价表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技术参数清楚、详尽、明确，内容无缺漏项，完全满足磋商文件要求无负偏离，得12分；参数中“▲”号项为主要技术参数，每有一条负偏离扣2分；非“▲”号项参数每有一条负偏离扣1分，扣完为止。 注：提供技术参数相应的证明材料（不限于官网和功能截图等技术支持性文件证明资料），经评审专家审定得分。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项目特点结合采购人需求制定项目实施方案，包括但不限于：①项目建设流程；②项目进度计划及工期保证措施；③培训方案及计划。方案各部分内容全面详细、阐述条理清晰详尽、符合本项目采购需求得12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详细评审---项目实施方案.docx</w:t>
            </w:r>
          </w:p>
        </w:tc>
      </w:tr>
      <w:tr>
        <w:tc>
          <w:tcPr>
            <w:tcW w:type="dxa" w:w="831"/>
            <w:vMerge/>
          </w:tcPr>
          <w:p/>
        </w:tc>
        <w:tc>
          <w:tcPr>
            <w:tcW w:type="dxa" w:w="1661"/>
          </w:tcPr>
          <w:p>
            <w:pPr>
              <w:pStyle w:val="null3"/>
            </w:pPr>
            <w:r>
              <w:rPr>
                <w:rFonts w:ascii="仿宋_GB2312" w:hAnsi="仿宋_GB2312" w:cs="仿宋_GB2312" w:eastAsia="仿宋_GB2312"/>
              </w:rPr>
              <w:t>课程设计方案</w:t>
            </w:r>
          </w:p>
        </w:tc>
        <w:tc>
          <w:tcPr>
            <w:tcW w:type="dxa" w:w="2492"/>
          </w:tcPr>
          <w:p>
            <w:pPr>
              <w:pStyle w:val="null3"/>
            </w:pPr>
            <w:r>
              <w:rPr>
                <w:rFonts w:ascii="仿宋_GB2312" w:hAnsi="仿宋_GB2312" w:cs="仿宋_GB2312" w:eastAsia="仿宋_GB2312"/>
              </w:rPr>
              <w:t>供应商针对项目特点结合采购人需求制定课程设计方案，包括但不限于：①教学设计（不限于设计思路、制作手法、常规场景、景别设计、动画制作等）；②内容科学性（不限于知识点准确性、逻辑性等）；③课程制作的创新性；④脚本质量。方案各部分内容全面详细、阐述条理清晰详尽、符合本项目采购需求得12分；以上分项每缺少一项内容扣3分；有某一项不完整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详细评审---课程设计方案.docx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针对本项目有专用的工具设备（拍摄设备、灯光设备、录音设备、提词器设备、一体机、滑轨摇臂、无人机、专业麦克风、制作软件、制作硬件等），拟投入设备能够完全满足本项目采购需求，计5分；若内容缺陷或不足者1分起扣，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详细评审---拟投入设备.docx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1.项目团队成员中，每有一人具备教师资格证、出版职业资格证书、PMP项目管理专业人员资格证书等相关专业资格证书的，计2分，满分6分。（同一人具备多种证书的，不重复计分） 备注：提供供应商本年度任意一个月人员缴纳的社保缴费证明或者劳动合同；未提供或者提供不全不得分。 3、供应商针对本项目有专业服务团队（如专业编导、平面设计、摄像、灯光、化妆、剪辑、动画制作及审片人员等相关人员）不少于20人，人员管理方案详细具体，各岗位职责分工明确、搭配合理，团队成员具有岗位对应的工作经验，包括①人员管理组织架构；②人员职责与分工明确；满分6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详细评审---人员配备.docx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1.供应商具有自有课程学习平台，计2分； 2.供应商具备学习平台PC端、移动端软件著作权登记证书、学习平台信息系统安全等级保护备案证明的，计3分，未提供或者提供不全不得分。 3.具有有效的质量管理体系认证证书（认证范围须至少包含“数字化学习资源的开发”的相关业务），得2分。 4.具有课程资源获得的资源作品登记证书，得2分。 注：投标文件中提供以上证明材料扫描件; 质量管理体系认证证书提供全国认证认可信息公共服务平台网站证书信息查询截图。</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主流媒体审核语料库</w:t>
            </w:r>
          </w:p>
        </w:tc>
        <w:tc>
          <w:tcPr>
            <w:tcW w:type="dxa" w:w="2492"/>
          </w:tcPr>
          <w:p>
            <w:pPr>
              <w:pStyle w:val="null3"/>
            </w:pPr>
            <w:r>
              <w:rPr>
                <w:rFonts w:ascii="仿宋_GB2312" w:hAnsi="仿宋_GB2312" w:cs="仿宋_GB2312" w:eastAsia="仿宋_GB2312"/>
              </w:rPr>
              <w:t>具有意识形态审校系统，审校系统语料库与学习强国、人民网、新华网、百度、腾讯等主流媒体审核语料库深度融合，需提供与以上主流媒体的审校合同或加盖双方公章的证明文件，每提供1份计3分，满分9分。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详细评审---主流媒体审核语料库.docx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项目特点结合采购人需求制定售后服务方案，包含但不限于①售后服务内容；②应急保障措施；③维护期内外的后续技术支持和维护能力；满分9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供应商提供2021年1月1日至今（以合同签订时间为准）同类项目业绩完整合同，每份计2分，满分10分。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详见附件：详细评审---课程设计方案.docx</w:t>
      </w:r>
    </w:p>
    <w:p>
      <w:pPr>
        <w:pStyle w:val="null3"/>
        <w:ind w:firstLine="960"/>
      </w:pPr>
      <w:r>
        <w:rPr>
          <w:rFonts w:ascii="仿宋_GB2312" w:hAnsi="仿宋_GB2312" w:cs="仿宋_GB2312" w:eastAsia="仿宋_GB2312"/>
        </w:rPr>
        <w:t>详见附件：详细评审---拟投入设备.docx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详见附件：详细评审---售后服务方案.docx</w:t>
      </w:r>
    </w:p>
    <w:p>
      <w:pPr>
        <w:pStyle w:val="null3"/>
        <w:ind w:firstLine="960"/>
      </w:pPr>
      <w:r>
        <w:rPr>
          <w:rFonts w:ascii="仿宋_GB2312" w:hAnsi="仿宋_GB2312" w:cs="仿宋_GB2312" w:eastAsia="仿宋_GB2312"/>
        </w:rPr>
        <w:t>详见附件：详细评审---项目实施方案.docx</w:t>
      </w:r>
    </w:p>
    <w:p>
      <w:pPr>
        <w:pStyle w:val="null3"/>
        <w:ind w:firstLine="960"/>
      </w:pPr>
      <w:r>
        <w:rPr>
          <w:rFonts w:ascii="仿宋_GB2312" w:hAnsi="仿宋_GB2312" w:cs="仿宋_GB2312" w:eastAsia="仿宋_GB2312"/>
        </w:rPr>
        <w:t>详见附件：详细评审---人员配备.docx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详见附件：详细评审---主流媒体审核语料库.docx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