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D0F0F8D">
      <w:pPr>
        <w:pStyle w:val="2"/>
        <w:keepNext w:val="0"/>
        <w:keepLines w:val="0"/>
      </w:pPr>
      <w:r>
        <w:rPr>
          <w:rFonts w:hint="eastAsia" w:ascii="宋体" w:hAnsi="宋体"/>
          <w:sz w:val="32"/>
          <w:szCs w:val="32"/>
        </w:rPr>
        <w:t xml:space="preserve"> 合同范本（仅供参考）</w:t>
      </w:r>
    </w:p>
    <w:p w14:paraId="4C3BEA51">
      <w:pPr>
        <w:spacing w:line="360" w:lineRule="auto"/>
        <w:ind w:firstLine="482" w:firstLineChars="200"/>
        <w:rPr>
          <w:rFonts w:ascii="宋体" w:hAnsi="宋体"/>
          <w:sz w:val="24"/>
        </w:rPr>
      </w:pPr>
      <w:r>
        <w:rPr>
          <w:rFonts w:hint="eastAsia" w:ascii="宋体" w:hAnsi="宋体"/>
          <w:b/>
          <w:color w:val="FF0000"/>
          <w:sz w:val="24"/>
        </w:rPr>
        <w:t xml:space="preserve"> </w:t>
      </w:r>
      <w:r>
        <w:rPr>
          <w:rFonts w:hint="eastAsia" w:ascii="宋体" w:hAnsi="宋体"/>
          <w:sz w:val="24"/>
          <w:u w:val="single"/>
        </w:rPr>
        <w:t xml:space="preserve">         </w:t>
      </w:r>
      <w:r>
        <w:rPr>
          <w:rFonts w:hint="eastAsia" w:ascii="宋体" w:hAnsi="宋体"/>
          <w:sz w:val="24"/>
        </w:rPr>
        <w:t>（以下简称甲方）</w:t>
      </w:r>
      <w:r>
        <w:rPr>
          <w:rFonts w:hint="eastAsia" w:ascii="宋体" w:hAnsi="宋体"/>
          <w:sz w:val="24"/>
          <w:u w:val="single"/>
        </w:rPr>
        <w:t xml:space="preserve">         </w:t>
      </w:r>
      <w:r>
        <w:rPr>
          <w:rFonts w:hint="eastAsia" w:ascii="宋体" w:hAnsi="宋体"/>
          <w:sz w:val="24"/>
        </w:rPr>
        <w:t>采购，在</w:t>
      </w:r>
      <w:r>
        <w:rPr>
          <w:rFonts w:hint="eastAsia" w:ascii="宋体" w:hAnsi="宋体" w:eastAsia="宋体"/>
          <w:sz w:val="24"/>
          <w:u w:val="single"/>
        </w:rPr>
        <w:t>陕西开放大学</w:t>
      </w:r>
      <w:r>
        <w:rPr>
          <w:rFonts w:hint="eastAsia" w:ascii="宋体" w:hAnsi="宋体"/>
          <w:sz w:val="24"/>
        </w:rPr>
        <w:t>的监督管理下，由</w:t>
      </w:r>
      <w:r>
        <w:rPr>
          <w:rFonts w:hint="eastAsia" w:ascii="宋体" w:hAnsi="宋体"/>
          <w:sz w:val="24"/>
          <w:u w:val="single"/>
        </w:rPr>
        <w:t>陕西开源招标有限公司</w:t>
      </w:r>
      <w:r>
        <w:rPr>
          <w:rFonts w:hint="eastAsia" w:ascii="宋体" w:hAnsi="宋体"/>
          <w:sz w:val="24"/>
        </w:rPr>
        <w:t>组织采购，选定</w:t>
      </w:r>
      <w:r>
        <w:rPr>
          <w:rFonts w:hint="eastAsia" w:ascii="宋体" w:hAnsi="宋体"/>
          <w:sz w:val="24"/>
          <w:u w:val="single"/>
        </w:rPr>
        <w:t xml:space="preserve">         </w:t>
      </w:r>
      <w:r>
        <w:rPr>
          <w:rFonts w:hint="eastAsia" w:ascii="宋体" w:hAnsi="宋体"/>
          <w:sz w:val="24"/>
        </w:rPr>
        <w:t xml:space="preserve"> (以下简称乙方）为该项目成交供应商。依据《中华人民共和国民法典》和《中华人民共和国政府采购法》，经甲、乙双方共同协商，按下述条款和条件签署本合同。</w:t>
      </w:r>
    </w:p>
    <w:p w14:paraId="23A38DAF">
      <w:pPr>
        <w:spacing w:line="360" w:lineRule="auto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一、合同内容</w:t>
      </w:r>
    </w:p>
    <w:p w14:paraId="72A1DB58">
      <w:pPr>
        <w:spacing w:line="360" w:lineRule="auto"/>
        <w:ind w:firstLine="480" w:firstLineChars="200"/>
        <w:rPr>
          <w:rFonts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>《贸易实务》网络课程</w:t>
      </w:r>
      <w:r>
        <w:rPr>
          <w:rFonts w:hint="eastAsia" w:ascii="宋体" w:hAnsi="宋体" w:eastAsia="宋体"/>
          <w:bCs/>
          <w:sz w:val="24"/>
        </w:rPr>
        <w:t>立项</w:t>
      </w:r>
      <w:r>
        <w:rPr>
          <w:rFonts w:hint="eastAsia" w:ascii="宋体" w:hAnsi="宋体"/>
          <w:bCs/>
          <w:sz w:val="24"/>
        </w:rPr>
        <w:t>建设</w:t>
      </w:r>
    </w:p>
    <w:p w14:paraId="137F37E2">
      <w:pPr>
        <w:spacing w:line="360" w:lineRule="auto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二、合同价格</w:t>
      </w:r>
    </w:p>
    <w:p w14:paraId="5A793DD6">
      <w:pPr>
        <w:spacing w:line="360" w:lineRule="auto"/>
        <w:ind w:left="420" w:left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合同总价：</w:t>
      </w:r>
      <w:r>
        <w:rPr>
          <w:rFonts w:hint="eastAsia" w:ascii="宋体" w:hAnsi="宋体"/>
          <w:sz w:val="24"/>
          <w:u w:val="single"/>
        </w:rPr>
        <w:t xml:space="preserve">人民币       元整（¥         元） </w:t>
      </w:r>
    </w:p>
    <w:p w14:paraId="36613FD1"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说明：</w:t>
      </w:r>
    </w:p>
    <w:p w14:paraId="6111B9E2">
      <w:pPr>
        <w:numPr>
          <w:ilvl w:val="0"/>
          <w:numId w:val="1"/>
        </w:num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合同总价包含完成本项目的所有费用。</w:t>
      </w:r>
    </w:p>
    <w:p w14:paraId="0F23C00C">
      <w:pPr>
        <w:numPr>
          <w:ilvl w:val="0"/>
          <w:numId w:val="1"/>
        </w:num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合同总价一次包死，不受市场价格变化的影响，并作为结算的唯一依据。</w:t>
      </w:r>
    </w:p>
    <w:p w14:paraId="4016F93F">
      <w:pPr>
        <w:spacing w:line="360" w:lineRule="auto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三、合同款项支付</w:t>
      </w:r>
    </w:p>
    <w:p w14:paraId="43FFDBB0">
      <w:pPr>
        <w:tabs>
          <w:tab w:val="left" w:pos="840"/>
        </w:tabs>
        <w:spacing w:line="360" w:lineRule="auto"/>
        <w:ind w:firstLine="566" w:firstLineChars="236"/>
        <w:rPr>
          <w:rFonts w:ascii="宋体" w:hAnsi="宋体"/>
          <w:color w:val="FF0000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>1、结算单位：采购人结算，在付款前，必须开具</w:t>
      </w:r>
      <w:r>
        <w:rPr>
          <w:rFonts w:hint="eastAsia" w:ascii="宋体" w:hAnsi="宋体" w:eastAsia="宋体"/>
          <w:sz w:val="24"/>
          <w:highlight w:val="none"/>
        </w:rPr>
        <w:t>等额</w:t>
      </w:r>
      <w:r>
        <w:rPr>
          <w:rFonts w:hint="eastAsia" w:ascii="宋体" w:hAnsi="宋体"/>
          <w:sz w:val="24"/>
          <w:highlight w:val="none"/>
        </w:rPr>
        <w:t>发票给采购人。</w:t>
      </w:r>
    </w:p>
    <w:p w14:paraId="67350C42">
      <w:pPr>
        <w:spacing w:line="360" w:lineRule="auto"/>
        <w:ind w:firstLine="566" w:firstLineChars="236"/>
        <w:rPr>
          <w:rFonts w:hint="eastAsia"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>2、付款方式：</w:t>
      </w:r>
    </w:p>
    <w:p w14:paraId="7BD77A01">
      <w:pPr>
        <w:spacing w:line="360" w:lineRule="auto"/>
        <w:ind w:firstLine="566" w:firstLineChars="236"/>
        <w:rPr>
          <w:rFonts w:hint="eastAsia"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>采购包1：付款条件说明：项目进度达到60%，达到付款条件起30日内，支付合同金额的40.00%。</w:t>
      </w:r>
    </w:p>
    <w:p w14:paraId="4FA6E381">
      <w:pPr>
        <w:spacing w:line="360" w:lineRule="auto"/>
        <w:ind w:firstLine="566" w:firstLineChars="236"/>
        <w:rPr>
          <w:rFonts w:hint="eastAsia"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>采购包1：付款条件说明：甲方项目经国家开放大学组织专家审核验收合格并签署验收报告后，达到付款条件起50日内，支付合同金额的40.00%。</w:t>
      </w:r>
    </w:p>
    <w:p w14:paraId="6CE5741B">
      <w:pPr>
        <w:spacing w:line="360" w:lineRule="auto"/>
        <w:ind w:firstLine="566" w:firstLineChars="236"/>
        <w:rPr>
          <w:rFonts w:hint="eastAsia"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>采购包1：付款条件说明：甲方项目自验收后运行满二个月，达到付款条件起30日内，支付合同金额的20.00%。</w:t>
      </w:r>
    </w:p>
    <w:p w14:paraId="5D6BBEDB">
      <w:pPr>
        <w:spacing w:line="360" w:lineRule="auto"/>
        <w:rPr>
          <w:rFonts w:ascii="宋体" w:hAnsi="宋体"/>
          <w:b/>
          <w:sz w:val="24"/>
          <w:highlight w:val="none"/>
        </w:rPr>
      </w:pPr>
      <w:r>
        <w:rPr>
          <w:rFonts w:hint="eastAsia" w:ascii="宋体" w:hAnsi="宋体"/>
          <w:b/>
          <w:sz w:val="24"/>
          <w:highlight w:val="none"/>
        </w:rPr>
        <w:t>四、服务条件</w:t>
      </w:r>
    </w:p>
    <w:p w14:paraId="3CEFE4E2"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（一）项目实施地点：采购人指定</w:t>
      </w:r>
      <w:bookmarkStart w:id="0" w:name="_GoBack"/>
      <w:bookmarkEnd w:id="0"/>
      <w:r>
        <w:rPr>
          <w:rFonts w:hint="eastAsia" w:ascii="宋体" w:hAnsi="宋体"/>
          <w:sz w:val="24"/>
        </w:rPr>
        <w:t>地点。</w:t>
      </w:r>
    </w:p>
    <w:p w14:paraId="5EAB422A"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（二）服务</w:t>
      </w:r>
      <w:r>
        <w:rPr>
          <w:rFonts w:hint="eastAsia" w:ascii="宋体" w:hAnsi="宋体" w:eastAsia="宋体"/>
          <w:sz w:val="24"/>
        </w:rPr>
        <w:t>期限</w:t>
      </w:r>
      <w:r>
        <w:rPr>
          <w:rFonts w:hint="eastAsia" w:ascii="宋体" w:hAnsi="宋体"/>
          <w:sz w:val="24"/>
        </w:rPr>
        <w:t>：成果交付期：合同签订后的120日内完成全部成品的交付工作</w:t>
      </w:r>
    </w:p>
    <w:p w14:paraId="354E91AC">
      <w:pPr>
        <w:spacing w:line="360" w:lineRule="auto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五、技术服务</w:t>
      </w:r>
    </w:p>
    <w:p w14:paraId="4EA676B1">
      <w:pPr>
        <w:spacing w:line="360" w:lineRule="auto"/>
        <w:ind w:firstLine="482" w:firstLineChars="200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（一）技术资料：</w:t>
      </w:r>
    </w:p>
    <w:p w14:paraId="15D42532">
      <w:pPr>
        <w:spacing w:line="360" w:lineRule="auto"/>
        <w:ind w:firstLine="482" w:firstLineChars="200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（二）人员培训：</w:t>
      </w:r>
    </w:p>
    <w:p w14:paraId="6226F124">
      <w:pPr>
        <w:spacing w:line="360" w:lineRule="auto"/>
        <w:ind w:firstLine="482" w:firstLineChars="200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（三）服务承诺：</w:t>
      </w:r>
    </w:p>
    <w:p w14:paraId="46A0B1C3">
      <w:pPr>
        <w:spacing w:line="360" w:lineRule="auto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六、违约责任</w:t>
      </w:r>
    </w:p>
    <w:p w14:paraId="4C0B67FE"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（一）按《中华人民共和国民法典》中的相关条款执行。</w:t>
      </w:r>
    </w:p>
    <w:p w14:paraId="037396F0"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（二）未按合同要求的提供</w:t>
      </w:r>
      <w:r>
        <w:rPr>
          <w:rFonts w:hint="eastAsia" w:ascii="宋体" w:hAnsi="宋体" w:eastAsia="宋体"/>
          <w:sz w:val="24"/>
        </w:rPr>
        <w:t>服务</w:t>
      </w:r>
      <w:r>
        <w:rPr>
          <w:rFonts w:hint="eastAsia" w:ascii="宋体" w:hAnsi="宋体"/>
          <w:sz w:val="24"/>
        </w:rPr>
        <w:t>或</w:t>
      </w:r>
      <w:r>
        <w:rPr>
          <w:rFonts w:hint="eastAsia" w:ascii="宋体" w:hAnsi="宋体" w:eastAsia="宋体"/>
          <w:sz w:val="24"/>
        </w:rPr>
        <w:t>服务</w:t>
      </w:r>
      <w:r>
        <w:rPr>
          <w:rFonts w:hint="eastAsia" w:ascii="宋体" w:hAnsi="宋体"/>
          <w:sz w:val="24"/>
        </w:rPr>
        <w:t>质量不能满足技术要求，采购人有权终止合同，甚至对供方违约行为进行追究。</w:t>
      </w:r>
    </w:p>
    <w:p w14:paraId="3A796E9B"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（三）如有纠纷，双方友好协商解决，协商不成时可诉讼到甲方所在地人民法院解决。</w:t>
      </w:r>
    </w:p>
    <w:p w14:paraId="32C9C561">
      <w:pPr>
        <w:spacing w:line="360" w:lineRule="auto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七、验收</w:t>
      </w:r>
    </w:p>
    <w:p w14:paraId="6316EBBE"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项目达到使用条件时由采购人负责组织验收或者邀请有关专家、质检机构、采购代理机构共同进行验收,验收费用由成交供应商支付(备注：如有验收须向采购代理机构支付金额2000-3000元不等)；验收合格须交接项目实施的全部资料，并填写政府采购项目验收报告单。验收须以合同、磋商文件及响应文件、澄清、及国家相应的标准、规范等为依据。</w:t>
      </w:r>
    </w:p>
    <w:p w14:paraId="0D469FD0">
      <w:pPr>
        <w:spacing w:line="360" w:lineRule="auto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八、其他事项</w:t>
      </w:r>
    </w:p>
    <w:p w14:paraId="38874D4A"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（一）</w:t>
      </w:r>
      <w:r>
        <w:rPr>
          <w:rFonts w:hint="eastAsia" w:ascii="宋体" w:hAnsi="宋体" w:eastAsia="宋体"/>
          <w:sz w:val="24"/>
        </w:rPr>
        <w:t>陕西开放大学</w:t>
      </w:r>
      <w:r>
        <w:rPr>
          <w:rFonts w:hint="eastAsia" w:ascii="宋体" w:hAnsi="宋体"/>
          <w:sz w:val="24"/>
        </w:rPr>
        <w:t>在合同的履行期间以及履行期后，可以随时检查项目的执行情况，对采购标准、采购内容进行调查核实，并对发现的问题进行处理。</w:t>
      </w:r>
    </w:p>
    <w:p w14:paraId="722906F1"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（二）本合同一式六份，甲方</w:t>
      </w:r>
      <w:r>
        <w:rPr>
          <w:rFonts w:hint="eastAsia" w:ascii="宋体" w:hAnsi="宋体"/>
          <w:sz w:val="24"/>
          <w:u w:val="single"/>
        </w:rPr>
        <w:t xml:space="preserve">         </w:t>
      </w:r>
      <w:r>
        <w:rPr>
          <w:rFonts w:hint="eastAsia" w:ascii="宋体" w:hAnsi="宋体"/>
          <w:sz w:val="24"/>
        </w:rPr>
        <w:t>四份，乙方</w:t>
      </w:r>
      <w:r>
        <w:rPr>
          <w:rFonts w:hint="eastAsia" w:ascii="宋体" w:hAnsi="宋体"/>
          <w:sz w:val="24"/>
          <w:u w:val="single"/>
        </w:rPr>
        <w:t xml:space="preserve">              </w:t>
      </w:r>
      <w:r>
        <w:rPr>
          <w:rFonts w:hint="eastAsia" w:ascii="宋体" w:hAnsi="宋体"/>
          <w:sz w:val="24"/>
        </w:rPr>
        <w:t>一份，采购代理机构一份，甲乙双方签字盖章后生效。</w:t>
      </w:r>
    </w:p>
    <w:p w14:paraId="3FEAB28F"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（三）</w:t>
      </w:r>
      <w:r>
        <w:rPr>
          <w:rFonts w:hint="eastAsia" w:ascii="宋体" w:hAnsi="宋体"/>
          <w:bCs/>
          <w:sz w:val="24"/>
        </w:rPr>
        <w:t>磋商文件、响应文件也是合同的组成部分，合同中未约定的以磋商文件、响应文件为准。</w:t>
      </w:r>
    </w:p>
    <w:p w14:paraId="0F354D85">
      <w:pPr>
        <w:spacing w:line="360" w:lineRule="auto"/>
        <w:ind w:firstLine="600" w:firstLineChars="25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合同签订地点：   </w:t>
      </w:r>
    </w:p>
    <w:p w14:paraId="3E80633B">
      <w:pPr>
        <w:spacing w:line="360" w:lineRule="auto"/>
        <w:ind w:firstLine="600" w:firstLineChars="25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合同签订时间：    年   月    日</w:t>
      </w:r>
    </w:p>
    <w:p w14:paraId="10453D27">
      <w:pPr>
        <w:spacing w:line="360" w:lineRule="auto"/>
        <w:rPr>
          <w:rFonts w:ascii="宋体" w:hAnsi="宋体"/>
          <w:sz w:val="24"/>
        </w:rPr>
      </w:pPr>
    </w:p>
    <w:p w14:paraId="135182E9">
      <w:pPr>
        <w:pStyle w:val="5"/>
      </w:pPr>
    </w:p>
    <w:p w14:paraId="35131518"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甲    方                           乙    方</w:t>
      </w:r>
    </w:p>
    <w:p w14:paraId="6FF48DC5"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单位名称：         </w:t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 xml:space="preserve">   单位名称： </w:t>
      </w:r>
    </w:p>
    <w:p w14:paraId="219BEA5D"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地   址：  </w:t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 xml:space="preserve">       </w:t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>地    址：</w:t>
      </w:r>
    </w:p>
    <w:p w14:paraId="638AEF12">
      <w:pPr>
        <w:spacing w:line="360" w:lineRule="auto"/>
        <w:rPr>
          <w:rFonts w:ascii="宋体" w:hAnsi="宋体"/>
          <w:sz w:val="24"/>
        </w:rPr>
      </w:pPr>
    </w:p>
    <w:p w14:paraId="597FB982"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法人代表：                         法人代表： </w:t>
      </w:r>
    </w:p>
    <w:p w14:paraId="55EB965F">
      <w:pPr>
        <w:spacing w:line="360" w:lineRule="auto"/>
        <w:rPr>
          <w:rFonts w:ascii="宋体" w:hAnsi="宋体"/>
          <w:sz w:val="24"/>
        </w:rPr>
      </w:pPr>
    </w:p>
    <w:p w14:paraId="6038CD9E"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联系电话：               </w:t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 xml:space="preserve">联系电话： </w:t>
      </w:r>
    </w:p>
    <w:p w14:paraId="45DCFEEC"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开 户 行：         </w:t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 xml:space="preserve">开 户 行： </w:t>
      </w:r>
    </w:p>
    <w:p w14:paraId="52E388F9"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账    号：             </w:t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>账    号：</w:t>
      </w:r>
    </w:p>
    <w:p w14:paraId="3A9D3326">
      <w:pPr>
        <w:pStyle w:val="12"/>
        <w:rPr>
          <w:rFonts w:hint="default"/>
        </w:rPr>
      </w:pPr>
      <w:r>
        <w:rPr>
          <w:rFonts w:ascii="仿宋_GB2312" w:hAnsi="仿宋_GB2312" w:eastAsia="仿宋_GB2312" w:cs="仿宋_GB2312"/>
        </w:rPr>
        <w:t xml:space="preserve"> </w:t>
      </w:r>
    </w:p>
    <w:p w14:paraId="34766069">
      <w:pPr>
        <w:spacing w:line="360" w:lineRule="auto"/>
        <w:rPr>
          <w:rFonts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 xml:space="preserve">附件1 </w:t>
      </w:r>
      <w:r>
        <w:rPr>
          <w:rFonts w:hint="eastAsia" w:asciiTheme="minorEastAsia" w:hAnsiTheme="minorEastAsia" w:eastAsiaTheme="minorEastAsia"/>
          <w:b/>
          <w:bCs/>
          <w:sz w:val="24"/>
        </w:rPr>
        <w:t>服务</w:t>
      </w:r>
      <w:r>
        <w:rPr>
          <w:rFonts w:hint="eastAsia" w:ascii="宋体" w:hAnsi="宋体"/>
          <w:b/>
          <w:bCs/>
          <w:sz w:val="24"/>
        </w:rPr>
        <w:t>内容</w:t>
      </w:r>
    </w:p>
    <w:tbl>
      <w:tblPr>
        <w:tblStyle w:val="8"/>
        <w:tblpPr w:leftFromText="180" w:rightFromText="180" w:vertAnchor="text" w:horzAnchor="page" w:tblpX="1137" w:tblpY="339"/>
        <w:tblOverlap w:val="never"/>
        <w:tblW w:w="949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85"/>
        <w:gridCol w:w="517"/>
        <w:gridCol w:w="1579"/>
        <w:gridCol w:w="1435"/>
        <w:gridCol w:w="1400"/>
        <w:gridCol w:w="2102"/>
        <w:gridCol w:w="875"/>
      </w:tblGrid>
      <w:tr w14:paraId="5A607F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atLeast"/>
        </w:trPr>
        <w:tc>
          <w:tcPr>
            <w:tcW w:w="1585" w:type="dxa"/>
            <w:vAlign w:val="center"/>
          </w:tcPr>
          <w:p w14:paraId="3D9462A3">
            <w:pPr>
              <w:tabs>
                <w:tab w:val="left" w:pos="810"/>
              </w:tabs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序号</w:t>
            </w:r>
          </w:p>
        </w:tc>
        <w:tc>
          <w:tcPr>
            <w:tcW w:w="2096" w:type="dxa"/>
            <w:gridSpan w:val="2"/>
            <w:vAlign w:val="center"/>
          </w:tcPr>
          <w:p w14:paraId="7567303F">
            <w:pPr>
              <w:tabs>
                <w:tab w:val="left" w:pos="810"/>
              </w:tabs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Theme="minorEastAsia" w:hAnsiTheme="minorEastAsia" w:eastAsiaTheme="minorEastAsia"/>
                <w:bCs/>
                <w:sz w:val="24"/>
              </w:rPr>
              <w:t>服务内容</w:t>
            </w:r>
          </w:p>
        </w:tc>
        <w:tc>
          <w:tcPr>
            <w:tcW w:w="1435" w:type="dxa"/>
            <w:vAlign w:val="center"/>
          </w:tcPr>
          <w:p w14:paraId="2737155D">
            <w:pPr>
              <w:tabs>
                <w:tab w:val="left" w:pos="810"/>
              </w:tabs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单价</w:t>
            </w:r>
          </w:p>
          <w:p w14:paraId="1AC7DFA0">
            <w:pPr>
              <w:tabs>
                <w:tab w:val="left" w:pos="810"/>
              </w:tabs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（元）</w:t>
            </w:r>
          </w:p>
        </w:tc>
        <w:tc>
          <w:tcPr>
            <w:tcW w:w="1400" w:type="dxa"/>
            <w:vAlign w:val="center"/>
          </w:tcPr>
          <w:p w14:paraId="1D3A9750">
            <w:pPr>
              <w:tabs>
                <w:tab w:val="left" w:pos="810"/>
              </w:tabs>
              <w:spacing w:line="360" w:lineRule="auto"/>
              <w:jc w:val="center"/>
              <w:rPr>
                <w:rFonts w:ascii="宋体" w:hAnsi="宋体" w:eastAsiaTheme="minorEastAsia"/>
                <w:bCs/>
                <w:sz w:val="24"/>
              </w:rPr>
            </w:pPr>
            <w:r>
              <w:rPr>
                <w:rFonts w:ascii="宋体" w:hAnsi="宋体" w:eastAsiaTheme="minorEastAsia"/>
                <w:bCs/>
                <w:sz w:val="24"/>
              </w:rPr>
              <w:t>数量</w:t>
            </w:r>
          </w:p>
        </w:tc>
        <w:tc>
          <w:tcPr>
            <w:tcW w:w="2102" w:type="dxa"/>
            <w:vAlign w:val="center"/>
          </w:tcPr>
          <w:p w14:paraId="7DBCA07D">
            <w:pPr>
              <w:tabs>
                <w:tab w:val="left" w:pos="810"/>
              </w:tabs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合计</w:t>
            </w:r>
          </w:p>
          <w:p w14:paraId="749F5B6E">
            <w:pPr>
              <w:tabs>
                <w:tab w:val="left" w:pos="810"/>
              </w:tabs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（元）</w:t>
            </w:r>
          </w:p>
        </w:tc>
        <w:tc>
          <w:tcPr>
            <w:tcW w:w="875" w:type="dxa"/>
            <w:vAlign w:val="center"/>
          </w:tcPr>
          <w:p w14:paraId="4A7F4628">
            <w:pPr>
              <w:tabs>
                <w:tab w:val="left" w:pos="810"/>
              </w:tabs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备注</w:t>
            </w:r>
          </w:p>
        </w:tc>
      </w:tr>
      <w:tr w14:paraId="63944A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</w:trPr>
        <w:tc>
          <w:tcPr>
            <w:tcW w:w="1585" w:type="dxa"/>
            <w:vAlign w:val="center"/>
          </w:tcPr>
          <w:p w14:paraId="3848C910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2096" w:type="dxa"/>
            <w:gridSpan w:val="2"/>
            <w:vAlign w:val="center"/>
          </w:tcPr>
          <w:p w14:paraId="332CE702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435" w:type="dxa"/>
            <w:vAlign w:val="center"/>
          </w:tcPr>
          <w:p w14:paraId="4C477194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400" w:type="dxa"/>
          </w:tcPr>
          <w:p w14:paraId="34E5293C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2102" w:type="dxa"/>
            <w:vAlign w:val="center"/>
          </w:tcPr>
          <w:p w14:paraId="3D419BFE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14:paraId="715907CB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 w14:paraId="5C9F9F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</w:trPr>
        <w:tc>
          <w:tcPr>
            <w:tcW w:w="1585" w:type="dxa"/>
            <w:vAlign w:val="center"/>
          </w:tcPr>
          <w:p w14:paraId="1A8D55AF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2096" w:type="dxa"/>
            <w:gridSpan w:val="2"/>
            <w:vAlign w:val="center"/>
          </w:tcPr>
          <w:p w14:paraId="5DC73F47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435" w:type="dxa"/>
            <w:vAlign w:val="center"/>
          </w:tcPr>
          <w:p w14:paraId="622014E3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400" w:type="dxa"/>
          </w:tcPr>
          <w:p w14:paraId="5586B58A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2102" w:type="dxa"/>
            <w:vAlign w:val="center"/>
          </w:tcPr>
          <w:p w14:paraId="034F0EC0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14:paraId="28614393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 w14:paraId="4A6520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</w:trPr>
        <w:tc>
          <w:tcPr>
            <w:tcW w:w="1585" w:type="dxa"/>
            <w:vAlign w:val="center"/>
          </w:tcPr>
          <w:p w14:paraId="74FA5055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2096" w:type="dxa"/>
            <w:gridSpan w:val="2"/>
            <w:vAlign w:val="center"/>
          </w:tcPr>
          <w:p w14:paraId="727E975B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435" w:type="dxa"/>
            <w:vAlign w:val="center"/>
          </w:tcPr>
          <w:p w14:paraId="60D64F71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400" w:type="dxa"/>
          </w:tcPr>
          <w:p w14:paraId="35C2A4C5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2102" w:type="dxa"/>
            <w:vAlign w:val="center"/>
          </w:tcPr>
          <w:p w14:paraId="01CF69F7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14:paraId="14B2D830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 w14:paraId="1BAC17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</w:trPr>
        <w:tc>
          <w:tcPr>
            <w:tcW w:w="1585" w:type="dxa"/>
            <w:vAlign w:val="center"/>
          </w:tcPr>
          <w:p w14:paraId="22857711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2096" w:type="dxa"/>
            <w:gridSpan w:val="2"/>
            <w:vAlign w:val="center"/>
          </w:tcPr>
          <w:p w14:paraId="599CD557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435" w:type="dxa"/>
            <w:vAlign w:val="center"/>
          </w:tcPr>
          <w:p w14:paraId="5BAE779D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400" w:type="dxa"/>
          </w:tcPr>
          <w:p w14:paraId="5C5B15B6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2102" w:type="dxa"/>
            <w:vAlign w:val="center"/>
          </w:tcPr>
          <w:p w14:paraId="3686EEEC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14:paraId="0578F4FB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 w14:paraId="498AAE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</w:trPr>
        <w:tc>
          <w:tcPr>
            <w:tcW w:w="1585" w:type="dxa"/>
            <w:vAlign w:val="center"/>
          </w:tcPr>
          <w:p w14:paraId="43FD451B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2096" w:type="dxa"/>
            <w:gridSpan w:val="2"/>
            <w:vAlign w:val="center"/>
          </w:tcPr>
          <w:p w14:paraId="17B0C604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435" w:type="dxa"/>
            <w:vAlign w:val="center"/>
          </w:tcPr>
          <w:p w14:paraId="71C0B861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400" w:type="dxa"/>
          </w:tcPr>
          <w:p w14:paraId="11F95C07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2102" w:type="dxa"/>
            <w:vAlign w:val="center"/>
          </w:tcPr>
          <w:p w14:paraId="098010A8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14:paraId="212E8454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 w14:paraId="12AB3D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</w:trPr>
        <w:tc>
          <w:tcPr>
            <w:tcW w:w="1585" w:type="dxa"/>
            <w:vAlign w:val="center"/>
          </w:tcPr>
          <w:p w14:paraId="0CB4A0A2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2096" w:type="dxa"/>
            <w:gridSpan w:val="2"/>
            <w:vAlign w:val="center"/>
          </w:tcPr>
          <w:p w14:paraId="1E99C56A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435" w:type="dxa"/>
            <w:vAlign w:val="center"/>
          </w:tcPr>
          <w:p w14:paraId="62F44B04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400" w:type="dxa"/>
          </w:tcPr>
          <w:p w14:paraId="3D2A12F1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2102" w:type="dxa"/>
            <w:vAlign w:val="center"/>
          </w:tcPr>
          <w:p w14:paraId="749B9140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14:paraId="3FD301FF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 w14:paraId="05DC62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</w:trPr>
        <w:tc>
          <w:tcPr>
            <w:tcW w:w="2102" w:type="dxa"/>
            <w:gridSpan w:val="2"/>
          </w:tcPr>
          <w:p w14:paraId="31453CC3">
            <w:pPr>
              <w:spacing w:line="360" w:lineRule="auto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7391" w:type="dxa"/>
            <w:gridSpan w:val="5"/>
            <w:vAlign w:val="center"/>
          </w:tcPr>
          <w:p w14:paraId="426C2AAA">
            <w:pPr>
              <w:spacing w:line="360" w:lineRule="auto"/>
              <w:rPr>
                <w:rFonts w:ascii="宋体" w:hAnsi="宋体" w:eastAsiaTheme="minorEastAsia"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总金额：</w:t>
            </w:r>
            <w:r>
              <w:rPr>
                <w:rFonts w:hint="eastAsia" w:ascii="宋体" w:hAnsi="宋体"/>
                <w:sz w:val="24"/>
              </w:rPr>
              <w:t>人民币</w:t>
            </w:r>
            <w:r>
              <w:rPr>
                <w:rFonts w:hint="eastAsia" w:ascii="宋体" w:hAnsi="宋体"/>
                <w:sz w:val="24"/>
                <w:u w:val="single"/>
              </w:rPr>
              <w:t xml:space="preserve">      </w:t>
            </w:r>
            <w:r>
              <w:rPr>
                <w:rFonts w:hint="eastAsia" w:ascii="宋体" w:hAnsi="宋体"/>
                <w:sz w:val="24"/>
              </w:rPr>
              <w:t>元整（¥</w:t>
            </w:r>
            <w:r>
              <w:rPr>
                <w:rFonts w:hint="eastAsia" w:ascii="宋体" w:hAnsi="宋体"/>
                <w:sz w:val="24"/>
                <w:u w:val="single"/>
              </w:rPr>
              <w:t xml:space="preserve">       </w:t>
            </w:r>
            <w:r>
              <w:rPr>
                <w:rFonts w:hint="eastAsia" w:ascii="宋体" w:hAnsi="宋体"/>
                <w:sz w:val="24"/>
              </w:rPr>
              <w:t>元）</w:t>
            </w:r>
          </w:p>
        </w:tc>
      </w:tr>
    </w:tbl>
    <w:p w14:paraId="2DFA93E4">
      <w:pPr>
        <w:spacing w:line="360" w:lineRule="auto"/>
        <w:rPr>
          <w:rFonts w:ascii="宋体" w:hAnsi="宋体"/>
          <w:b/>
          <w:bCs/>
          <w:sz w:val="24"/>
        </w:rPr>
      </w:pPr>
    </w:p>
    <w:p w14:paraId="0B9F7F7B">
      <w:pPr>
        <w:spacing w:line="360" w:lineRule="auto"/>
        <w:rPr>
          <w:rFonts w:ascii="宋体" w:hAnsi="宋体" w:eastAsiaTheme="minorEastAsia"/>
          <w:b/>
          <w:bCs/>
          <w:sz w:val="24"/>
        </w:rPr>
      </w:pPr>
    </w:p>
    <w:p w14:paraId="69FB4AC6">
      <w:pPr>
        <w:rPr>
          <w:rFonts w:hint="eastAsia"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br w:type="page"/>
      </w:r>
    </w:p>
    <w:p w14:paraId="62F3D397">
      <w:pPr>
        <w:spacing w:line="360" w:lineRule="auto"/>
        <w:rPr>
          <w:rFonts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附件2 性能参数表</w:t>
      </w:r>
    </w:p>
    <w:p w14:paraId="07E792D9">
      <w:pPr>
        <w:keepLines/>
        <w:wordWrap w:val="0"/>
        <w:topLinePunct/>
        <w:spacing w:line="360" w:lineRule="auto"/>
        <w:ind w:right="48"/>
        <w:rPr>
          <w:rFonts w:ascii="宋体" w:hAnsi="宋体" w:cs="宋体"/>
          <w:sz w:val="24"/>
        </w:rPr>
      </w:pPr>
    </w:p>
    <w:p w14:paraId="164385D9">
      <w:pPr>
        <w:pStyle w:val="4"/>
        <w:rPr>
          <w:rFonts w:eastAsiaTheme="minorEastAsia"/>
        </w:rPr>
      </w:pPr>
    </w:p>
    <w:p w14:paraId="576E217B"/>
    <w:sectPr>
      <w:footerReference r:id="rId5" w:type="default"/>
      <w:pgSz w:w="11900" w:h="16840"/>
      <w:pgMar w:top="1440" w:right="1080" w:bottom="1440" w:left="1080" w:header="0" w:footer="1109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8C7A2EE">
    <w:pPr>
      <w:rPr>
        <w:rFonts w:asciiTheme="minorEastAsia" w:hAnsiTheme="minorEastAsia" w:eastAsiaTheme="minorEastAsia"/>
      </w:rPr>
    </w:pPr>
    <w:r>
      <w:rPr>
        <w:rFonts w:hint="eastAsia" w:cs="微软雅黑" w:asciiTheme="minorEastAsia" w:hAnsiTheme="minorEastAsia" w:eastAsiaTheme="minorEastAsia"/>
      </w:rPr>
      <w:t>陕西开源招标有限公司</w:t>
    </w:r>
    <w:r>
      <w:rPr>
        <w:rFonts w:asciiTheme="minorEastAsia" w:hAnsiTheme="minorEastAsia" w:eastAsiaTheme="minorEastAsia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2" name="文本框 2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068CEDC">
                          <w:pPr>
                            <w:pStyle w:val="6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Cz&#10;SVju0AAAAAUBAAAPAAAAAAAAAAEAIAAAACIAAABkcnMvZG93bnJldi54bWxQSwECFAAUAAAACACH&#10;TuJAYsnXPywCAABXBAAADgAAAAAAAAABACAAAAAfAQAAZHJzL2Uyb0RvYy54bWxQSwUGAAAAAAYA&#10;BgBZAQAAv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068CEDC">
                    <w:pPr>
                      <w:pStyle w:val="6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  <w:r>
      <w:rPr>
        <w:sz w:val="2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5" name="文本框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8B78D8C">
                          <w:pPr>
                            <w:pStyle w:val="6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Cz&#10;SVju0AAAAAUBAAAPAAAAAAAAAAEAIAAAACIAAABkcnMvZG93bnJldi54bWxQSwECFAAUAAAACACH&#10;TuJAg6C4liwCAABXBAAADgAAAAAAAAABACAAAAAfAQAAZHJzL2Uyb0RvYy54bWxQSwUGAAAAAAYA&#10;BgBZAQAAv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8B78D8C">
                    <w:pPr>
                      <w:pStyle w:val="6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ECA046B"/>
    <w:multiLevelType w:val="singleLevel"/>
    <w:tmpl w:val="1ECA046B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064E2489"/>
    <w:rsid w:val="00302321"/>
    <w:rsid w:val="003E248C"/>
    <w:rsid w:val="00913F12"/>
    <w:rsid w:val="00937730"/>
    <w:rsid w:val="009D3BAB"/>
    <w:rsid w:val="00A8560B"/>
    <w:rsid w:val="00C80D71"/>
    <w:rsid w:val="00DB0A2E"/>
    <w:rsid w:val="011B2C43"/>
    <w:rsid w:val="064E2489"/>
    <w:rsid w:val="220876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120" w:after="120" w:line="360" w:lineRule="auto"/>
      <w:jc w:val="center"/>
      <w:outlineLvl w:val="0"/>
    </w:pPr>
    <w:rPr>
      <w:b/>
      <w:bCs/>
      <w:kern w:val="44"/>
      <w:sz w:val="30"/>
      <w:szCs w:val="44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120" w:after="120" w:line="360" w:lineRule="auto"/>
      <w:jc w:val="center"/>
      <w:outlineLvl w:val="1"/>
    </w:pPr>
    <w:rPr>
      <w:rFonts w:ascii="Arial" w:hAnsi="Arial"/>
      <w:b/>
      <w:bCs/>
      <w:sz w:val="28"/>
      <w:szCs w:val="32"/>
    </w:rPr>
  </w:style>
  <w:style w:type="character" w:default="1" w:styleId="9">
    <w:name w:val="Default Paragraph Font"/>
    <w:semiHidden/>
    <w:unhideWhenUsed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next w:val="1"/>
    <w:uiPriority w:val="0"/>
    <w:rPr>
      <w:color w:val="993300"/>
      <w:sz w:val="24"/>
    </w:rPr>
  </w:style>
  <w:style w:type="paragraph" w:styleId="5">
    <w:name w:val="Body Text Indent"/>
    <w:basedOn w:val="1"/>
    <w:qFormat/>
    <w:uiPriority w:val="0"/>
    <w:pPr>
      <w:spacing w:after="120"/>
      <w:ind w:left="420" w:leftChars="200"/>
    </w:pPr>
  </w:style>
  <w:style w:type="paragraph" w:styleId="6">
    <w:name w:val="footer"/>
    <w:basedOn w:val="1"/>
    <w:link w:val="11"/>
    <w:uiPriority w:val="0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7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10">
    <w:name w:val="页眉 Char"/>
    <w:basedOn w:val="9"/>
    <w:link w:val="7"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1">
    <w:name w:val="页脚 Char"/>
    <w:basedOn w:val="9"/>
    <w:link w:val="6"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paragraph" w:customStyle="1" w:styleId="12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1267</Words>
  <Characters>1278</Characters>
  <Lines>11</Lines>
  <Paragraphs>3</Paragraphs>
  <TotalTime>0</TotalTime>
  <ScaleCrop>false</ScaleCrop>
  <LinksUpToDate>false</LinksUpToDate>
  <CharactersWithSpaces>1547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2023-10-18T10:09:00Z</dcterms:created>
  <dc:creator>就是如此</dc:creator>
  <cp:lastModifiedBy>白日梦</cp:lastModifiedBy>
  <dcterms:modified xsi:type="dcterms:W3CDTF">2025-06-23T03:10:33Z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2B13D543E81B4760AF6D0E764E685C92_11</vt:lpwstr>
  </property>
  <property fmtid="{D5CDD505-2E9C-101B-9397-08002B2CF9AE}" pid="4" name="KSOTemplateDocerSaveRecord">
    <vt:lpwstr>eyJoZGlkIjoiOTQyNjJhYWQ1Y2ZkMWY1OTgyN2E4ZDZkNGNkNDQwMjYiLCJ1c2VySWQiOiIzMTI3MDEwNzEifQ==</vt:lpwstr>
  </property>
</Properties>
</file>