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版本号：XBZB-2025-07220250619001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学生十四公寓、家属区三期FTTH带宽服务采购项目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XBZB-2025-072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学生十四公寓、家属区三期FTTH带宽服务采购项目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学生十四公寓、家属区三期FTTH带宽服务采购项目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本次采购家属区三期及学生十四公寓FTTH共计1100户，每户独享不低于100Mbps，教学区独立出口带宽8Gbps。</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营商直接参加磋商的须提供《中华人民共和国基础电信业务经营许可证》；运营商分支机构参与磋商的须提供其总公司的授权文件及《中华人民共和国基础电信业务经营许可证》；非运营商参与磋商的须提供运营商或其分支机构针对本项目的授权书。：运营商直接参加磋商的须提供《中华人民共和国基础电信业务经营许可证》；运营商分支机构参与磋商的须提供其总公司的授权文件及《中华人民共和国基础电信业务经营许可证》；非运营商参与磋商的须提供运营商或其分支机构针对本项目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 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15191896402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代理服务费收费标准：确定成交人后3日内，由成交人向招标代理机构一次付清招标代理服务费。磋商代理服务费的金额以成交金额作为收费的计算基数。 磋商服务费按国家标准的65%收取（国家计委计价格[2002]1980号和国家发改委[2003]857号文件的规定）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详见招标文件及合同模版。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 静</w:t>
      </w:r>
    </w:p>
    <w:p>
      <w:pPr>
        <w:pStyle w:val="null3"/>
      </w:pPr>
      <w:r>
        <w:rPr>
          <w:rFonts w:ascii="仿宋_GB2312" w:hAnsi="仿宋_GB2312" w:cs="仿宋_GB2312" w:eastAsia="仿宋_GB2312"/>
        </w:rPr>
        <w:t>联系电话：15191896402</w:t>
      </w:r>
    </w:p>
    <w:p>
      <w:pPr>
        <w:pStyle w:val="null3"/>
      </w:pPr>
      <w:r>
        <w:rPr>
          <w:rFonts w:ascii="仿宋_GB2312" w:hAnsi="仿宋_GB2312" w:cs="仿宋_GB2312" w:eastAsia="仿宋_GB2312"/>
        </w:rPr>
        <w:t>地址：陕西省西安市碑林区长安国际F座办公楼17层</w:t>
      </w:r>
    </w:p>
    <w:p>
      <w:pPr>
        <w:pStyle w:val="null3"/>
      </w:pPr>
      <w:r>
        <w:rPr>
          <w:rFonts w:ascii="仿宋_GB2312" w:hAnsi="仿宋_GB2312" w:cs="仿宋_GB2312" w:eastAsia="仿宋_GB2312"/>
        </w:rPr>
        <w:t>邮编：710002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本次采购家属区三期及学生十四公寓FTTH共计1100户，每户独享不低于100Mbps，教学区独立出口带宽8Gbps。FTTH用户所有线路及光猫由供应商统一提供，学校不额外支付费用。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FTTH带宽服务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标的名称：FTTH带宽服务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供应商提供8GE通道，接入端口速率不小于10Gbps，所提供的带宽利用率不低于95%，接入地点需由本地局端至陕西科技大学教学楼中心机房，带宽附带IPV4接入地址不少于64个。为保障我校各业务系统使用，不得变更专业业务IP地址。</w:t>
            </w:r>
          </w:p>
          <w:p>
            <w:pPr>
              <w:pStyle w:val="null3"/>
              <w:jc w:val="both"/>
            </w:pPr>
            <w:r>
              <w:rPr>
                <w:rFonts w:ascii="仿宋_GB2312" w:hAnsi="仿宋_GB2312" w:cs="仿宋_GB2312" w:eastAsia="仿宋_GB2312"/>
                <w:sz w:val="24"/>
              </w:rPr>
              <w:t>★2、链路质量：所提供的出口链路衰减值不能低于-15DB，链路长度不超过10km。</w:t>
            </w:r>
          </w:p>
          <w:p>
            <w:pPr>
              <w:pStyle w:val="null3"/>
              <w:jc w:val="both"/>
            </w:pPr>
            <w:r>
              <w:rPr>
                <w:rFonts w:ascii="仿宋_GB2312" w:hAnsi="仿宋_GB2312" w:cs="仿宋_GB2312" w:eastAsia="仿宋_GB2312"/>
                <w:sz w:val="24"/>
              </w:rPr>
              <w:t>商务条款：</w:t>
            </w:r>
          </w:p>
          <w:p>
            <w:pPr>
              <w:pStyle w:val="null3"/>
              <w:jc w:val="both"/>
            </w:pPr>
            <w:r>
              <w:rPr>
                <w:rFonts w:ascii="仿宋_GB2312" w:hAnsi="仿宋_GB2312" w:cs="仿宋_GB2312" w:eastAsia="仿宋_GB2312"/>
                <w:sz w:val="24"/>
              </w:rPr>
              <w:t>1、供应商应向甲方提供7×24小时的故障处理服务，故障原则上由乙方维护人员进行处理。发生故障时，乙方应在30分钟内作出响应，2小时到达现场处置，4小时恢复故障。</w:t>
            </w:r>
          </w:p>
          <w:p>
            <w:pPr>
              <w:pStyle w:val="null3"/>
              <w:jc w:val="both"/>
            </w:pPr>
            <w:r>
              <w:rPr>
                <w:rFonts w:ascii="仿宋_GB2312" w:hAnsi="仿宋_GB2312" w:cs="仿宋_GB2312" w:eastAsia="仿宋_GB2312"/>
                <w:sz w:val="24"/>
              </w:rPr>
              <w:t>2、由供应商负责完成家属区及学生公寓用户入户FTTH改造相关工程，包含一级分光、二级分光、光缆布放、皮线入户及光猫安装调试等工作，我校只支付服务费，链路及初次安装光猫均由供应商提供，且不在本次采购预算内。</w:t>
            </w:r>
          </w:p>
          <w:p>
            <w:pPr>
              <w:pStyle w:val="null3"/>
              <w:jc w:val="both"/>
            </w:pPr>
            <w:r>
              <w:rPr>
                <w:rFonts w:ascii="仿宋_GB2312" w:hAnsi="仿宋_GB2312" w:cs="仿宋_GB2312" w:eastAsia="仿宋_GB2312"/>
                <w:sz w:val="24"/>
              </w:rPr>
              <w:t>3、家属区接入用户的服务由供应商安排专职人员维护，专职人员不少于1人。</w:t>
            </w:r>
          </w:p>
          <w:p>
            <w:pPr>
              <w:pStyle w:val="null3"/>
              <w:jc w:val="both"/>
            </w:pPr>
            <w:r>
              <w:rPr>
                <w:rFonts w:ascii="仿宋_GB2312" w:hAnsi="仿宋_GB2312" w:cs="仿宋_GB2312" w:eastAsia="仿宋_GB2312"/>
                <w:sz w:val="24"/>
              </w:rPr>
              <w:t>4、供应商为我校家属区用户提供互联网接入服务，接入带宽不低于100Mbps每户独享，后期带宽使用按照市场原则，如国家政策、市场资费等下降时，应按照市场资费标准对我校用户提提供提速降费操作。</w:t>
            </w:r>
          </w:p>
          <w:p>
            <w:pPr>
              <w:pStyle w:val="null3"/>
              <w:jc w:val="both"/>
            </w:pPr>
            <w:r>
              <w:rPr>
                <w:rFonts w:ascii="仿宋_GB2312" w:hAnsi="仿宋_GB2312" w:cs="仿宋_GB2312" w:eastAsia="仿宋_GB2312"/>
                <w:sz w:val="24"/>
              </w:rPr>
              <w:t>5、供应商须确保业务开通的时效性，实现无缝割接，保证我校网络在此过程中不得中断，期间涉及任何问题由供应商自行协调。</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周期为2025年8月1日至2026年7月31日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网络开通且稳定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详见招标文件及合同模板。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财务状况报告（须提供供应商2024年具有财务审计资质单位出具的财务报告或提交报价文件截止时间前六个月内其基本账户开户银行出具的资信证明（附开户许可证或开户备案证明）；其他组织和自然人提供银行出具的资信证明或财务报表；新成立企业提供成立以来的财务报表）；或财政部门认可的政府采购专业担保机构出具的投标担保函；以上三种形式的资料提供任何一种即可。3、有依法缴纳税收和社会保障资金的良好记录，提供依法缴纳税收和社会保障资金的相关材料（提供缴费所属日期为磋商截止时间前12个月内任一月份已缴存的社会保障资金缴存凭证或社保机构开具的社会保险参保缴费情况证明，依法不需要缴纳社会保障资金的单位应提供相关证明材料，提供缴费所属日期为磋商截止时间前12个月内任一月份已缴纳的纳税证明或完税证明（任意税种），依法免税的单位应提供相关证明材料）；4、具备履行合同所必需的设备和专业技术能力的证明材料（提供承诺书）；5、参加政府采购活动前三年内，在经营活动中没有重大违法记录（提供参加政府采购活动前三年内，在经营活动中没有重大违法记录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须提供供应商2024年具有财务审计资质单位出具的财务报告或提交报价文件截止时间前六个月内其基本账户开户银行出具的资信证明（附开户许可证或开户备案证明）；其他组织和自然人提供银行出具的资信证明或财务报表；新成立企业提供成立以来的财务报表）；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运营商直接参加磋商的须提供《中华人民共和国基础电信业务经营许可证》；运营商分支机构参与磋商的须提供其总公司的授权文件及《中华人民共和国基础电信业务经营许可证》；非运营商参与磋商的须提供运营商或其分支机构针对本项目的授权书。</w:t>
            </w:r>
          </w:p>
        </w:tc>
        <w:tc>
          <w:tcPr>
            <w:tcW w:type="dxa" w:w="3322"/>
          </w:tcPr>
          <w:p>
            <w:pPr>
              <w:pStyle w:val="null3"/>
            </w:pPr>
            <w:r>
              <w:rPr>
                <w:rFonts w:ascii="仿宋_GB2312" w:hAnsi="仿宋_GB2312" w:cs="仿宋_GB2312" w:eastAsia="仿宋_GB2312"/>
              </w:rPr>
              <w:t>运营商直接参加磋商的须提供《中华人民共和国基础电信业务经营许可证》；运营商分支机构参与磋商的须提供其总公司的授权文件及《中华人民共和国基础电信业务经营许可证》；非运营商参与磋商的须提供运营商或其分支机构针对本项目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法人代表授权书.docx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投标人针对本项目制定规范化的服务方案和定期预防性管理维护方案：方案设计合理、架构完整、层次清楚，优于本项目服务要求的计8.1-10分，方案较为完整、架构层次清晰基本满足项目服务要求计4.1-8分，方案不完善、架构、层次粗糙可实施性差计1-4分；无响应不计分。 2.投标人对本次项目的理解：即投标人针对本项目的现状、重难点进行分析，根据响应方案对于项目的理解程度、现状重难点分析完整计4.1-6分，分析思路较清晰，理解分析较完整计1-4，无响应不计分。 3.项目实施方案满足用户需求，实施方案对线路情况有详细的描述，并能提出合理化建议的计4.1-6分，描述较清楚、方案基本满足需求计1-4分。 4.线路的故障诊断、故障恢复、应急预案及维护管理方案合理，具有详细、具体可行的通信保障服务措施计5.1-7分，方案较为详细、合理计3.1-5分，方案内容粗糙、可实施性差计1-3分，无响应不计分。 5.有完善的项目管理方案，整个项目设有项目经理人及技术负责人，人员分工合理、责任明确，且具有具体的进度安排措施的计4.1-6分，管理方案较合理、完善、人员分工配置较为合理计1-4分，无响应不计分。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 方案</w:t>
            </w:r>
          </w:p>
        </w:tc>
        <w:tc>
          <w:tcPr>
            <w:tcW w:type="dxa" w:w="2492"/>
          </w:tcPr>
          <w:p>
            <w:pPr>
              <w:pStyle w:val="null3"/>
            </w:pPr>
            <w:r>
              <w:rPr>
                <w:rFonts w:ascii="仿宋_GB2312" w:hAnsi="仿宋_GB2312" w:cs="仿宋_GB2312" w:eastAsia="仿宋_GB2312"/>
              </w:rPr>
              <w:t>1.投标人针对本项目设有完善的售后服务机构（提供相应证明材料），根据响应程度计0-5分。 2.提供详细、具体、可行性强的售后服务措施和方案，有详细的售后服务措施和承诺计5.1-7分，有较为详细、可行的售后服务方案，承诺较为明确计3.1-5分，方案制定粗糙可实施性差，承诺不明确计1-3分，无响应不计分。 3.供应商针对故障及应急情况的应急措施及响应时间，根据响应程度计0-3分。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1.能够保证质量、按期实施交付， 根据响应情况质量保障措施完善、履约计划完善的7-10分；质量保障措施基本完善的3-6.9；质量保障措施有缺漏或明显不足的0-2.9分。 2.线路性能稳定，具有较好的使用效果，质量保证完善，符合国际、国内相关标准，根据响应程度计0-5分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供应商应提供2022年1月1日（以合同签订日期为准）以来同类项目合同，每份得1分，最高得5分。（合同原件备查）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供应商业绩或需要说明的其他内容.docx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依据财库[2007]2 号文，价格分统一采用低价优先法计算，即满足磋商文件要求且磋商价格最低的为磋商基准价，其价格分为满分。其他供应商的价格分统一按照下列公式计算： 磋商报价得分=(磋商基准价／最后磋商报价)×30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详见附件：供应商业绩或需要说明的其他内容.docx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