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版本号：KY2025-1-64620250620001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雁塔校区附属学校校园基础设施改造及局部加固项目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KY2025-1-646</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雁塔校区附属学校校园基础设施改造及局部加固项目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雁塔校区附属学校校园基础设施改造及局部加固项目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建筑科技大学雁塔校区附属学校校园基础设施改造及局部加固项目，1项。据学校规划安排，现需将附属学校校园基础设施进行升级改造，为满足基础需求，现对其进行基础改造。主要涉及教室内墙涂料粉刷、楼梯护栏扶手除锈和刷漆、新增室外钢结构连廊、悬挑外廊钢结构加固、沥青混凝土运动场修补、国旗台砌筑及不锈钢旗杆安装、景壁墙基础混凝土及大理石面层铺贴、原有外墙装饰板拆除及恢复、电气改造等，改造面积约5500余平方米。质量标准执行国家、陕西省、西安市现行工程质量验评标准。施工场地满足施工需求。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采购包1（雁塔校区附属学校校园基础设施改造及局部加固项目）：属于专门面向中小企业采购。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1、项目负责人资质：拟派项目经理具备合法有效的建筑工程专业二级及以上注册建造师资格和安全生产考核合格证，且无其他在建工程（提供无在建工程的承诺函）。</w:t>
      </w:r>
    </w:p>
    <w:p>
      <w:pPr>
        <w:pStyle w:val="null3"/>
      </w:pPr>
      <w:r>
        <w:rPr>
          <w:rFonts w:ascii="仿宋_GB2312" w:hAnsi="仿宋_GB2312" w:cs="仿宋_GB2312" w:eastAsia="仿宋_GB2312"/>
        </w:rPr>
        <w:t>2、法定代表人授权书：法定代表人授权书及被授权人身份证明。（法定代表人直接投标只须提供其身份证明）</w:t>
      </w:r>
    </w:p>
    <w:p>
      <w:pPr>
        <w:pStyle w:val="null3"/>
      </w:pPr>
      <w:r>
        <w:rPr>
          <w:rFonts w:ascii="仿宋_GB2312" w:hAnsi="仿宋_GB2312" w:cs="仿宋_GB2312" w:eastAsia="仿宋_GB2312"/>
        </w:rPr>
        <w:t>3、企业资质：供应商应具备建设行政主管部门颁发合法有效的建筑工程施工总承包三级及以上资质或建筑装修装饰工程专业承包二级及以上资质，同时具备钢结构工程专业承包三级及以上资质和特种工程专业承包（结构补强）资质；且具备合法有效的安全生产许可证。</w:t>
      </w:r>
    </w:p>
    <w:p>
      <w:pPr>
        <w:pStyle w:val="null3"/>
      </w:pPr>
      <w:r>
        <w:rPr>
          <w:rFonts w:ascii="仿宋_GB2312" w:hAnsi="仿宋_GB2312" w:cs="仿宋_GB2312" w:eastAsia="仿宋_GB2312"/>
        </w:rPr>
        <w:t>4、其他要求：陕西省外的供应商及其拟派项目经理相关信息须在“陕西省住房和城乡建设厅”官方网站可查询。</w:t>
      </w:r>
    </w:p>
    <w:p>
      <w:pPr>
        <w:pStyle w:val="null3"/>
      </w:pPr>
      <w:r>
        <w:rPr>
          <w:rFonts w:ascii="仿宋_GB2312" w:hAnsi="仿宋_GB2312" w:cs="仿宋_GB2312" w:eastAsia="仿宋_GB2312"/>
        </w:rPr>
        <w:t>5、中小企业声明：本项目专门面向中小企业采购，供应商须为中小企业，并提供声明函。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说明：履约保证金或履约保函，金额为签约合同价的5%。供应商成交后凭成交通知书向采购人缴纳成交金额的5%作为履约保证金，待合同履约完毕后无息退还。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代理服务费收费标准：1、依据成交金额向采购代理机构交纳成交服务费，交费金额参照国家计委颁布的《招标代理服务收费管理暂行办法》（计价格[2002]1980号）及发改办价格[2003]857号文件的规定标准的75%收取。 2、本项目成交服务费按工程计取。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踏勘时间：2025-06-30 10:00:00</w:t>
            </w:r>
          </w:p>
          <w:p>
            <w:pPr>
              <w:pStyle w:val="null3"/>
              <w:ind w:firstLine="975"/>
            </w:pPr>
            <w:r>
              <w:rPr>
                <w:rFonts w:ascii="仿宋_GB2312" w:hAnsi="仿宋_GB2312" w:cs="仿宋_GB2312" w:eastAsia="仿宋_GB2312"/>
              </w:rPr>
              <w:t>踏勘地点：雁塔校区南院附属中学门前</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联系电话号码：029-82202233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雁塔校区附属学校校园基础设施改造及局部加固项目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标的名称：雁塔校区附属学校校园基础设施改造及局部加固项目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1、清单编制依据：</w:t>
            </w:r>
          </w:p>
          <w:p>
            <w:pPr>
              <w:pStyle w:val="null3"/>
              <w:ind w:firstLine="482"/>
              <w:jc w:val="both"/>
            </w:pPr>
            <w:r>
              <w:rPr>
                <w:rFonts w:ascii="仿宋_GB2312" w:hAnsi="仿宋_GB2312" w:cs="仿宋_GB2312" w:eastAsia="仿宋_GB2312"/>
                <w:sz w:val="24"/>
                <w:b/>
              </w:rPr>
              <w:t>一、项目概况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1、项目名称：西安建筑科技大学雁塔校区附属学校校园基础设施改造及局部加固项目</w:t>
            </w:r>
          </w:p>
          <w:p>
            <w:pPr>
              <w:pStyle w:val="null3"/>
              <w:ind w:firstLine="480"/>
            </w:pPr>
            <w:r>
              <w:rPr>
                <w:rFonts w:ascii="仿宋_GB2312" w:hAnsi="仿宋_GB2312" w:cs="仿宋_GB2312" w:eastAsia="仿宋_GB2312"/>
                <w:sz w:val="24"/>
              </w:rPr>
              <w:t>2、建设单位：西安建筑科技大学</w:t>
            </w:r>
          </w:p>
          <w:p>
            <w:pPr>
              <w:pStyle w:val="null3"/>
              <w:ind w:firstLine="482"/>
            </w:pPr>
            <w:r>
              <w:rPr>
                <w:rFonts w:ascii="仿宋_GB2312" w:hAnsi="仿宋_GB2312" w:cs="仿宋_GB2312" w:eastAsia="仿宋_GB2312"/>
                <w:sz w:val="24"/>
                <w:b/>
              </w:rPr>
              <w:t>二、编制范围：</w:t>
            </w:r>
            <w:r>
              <w:rPr>
                <w:rFonts w:ascii="仿宋_GB2312" w:hAnsi="仿宋_GB2312" w:cs="仿宋_GB2312" w:eastAsia="仿宋_GB2312"/>
                <w:sz w:val="24"/>
              </w:rPr>
              <w:t>本工程附属学校校园基础设施改造及加固项目，分别是南院附中教学楼室外连廊以及加固工程、建大附中北校区门厅入口工程，建筑面积</w:t>
            </w:r>
            <w:r>
              <w:rPr>
                <w:rFonts w:ascii="仿宋_GB2312" w:hAnsi="仿宋_GB2312" w:cs="仿宋_GB2312" w:eastAsia="仿宋_GB2312"/>
                <w:sz w:val="24"/>
              </w:rPr>
              <w:t>784平方米，位于西安市碑林区西安建筑科技大学雁塔区南北院附属中学院内，设计内容：分别是在原附中教学楼悬挑走廊外新增4m宽钢结构室外连廊以及内部的加固工程和在原教学楼两侧更换铁艺大门。</w:t>
            </w:r>
          </w:p>
          <w:p>
            <w:pPr>
              <w:pStyle w:val="null3"/>
              <w:ind w:firstLine="482"/>
            </w:pPr>
            <w:r>
              <w:rPr>
                <w:rFonts w:ascii="仿宋_GB2312" w:hAnsi="仿宋_GB2312" w:cs="仿宋_GB2312" w:eastAsia="仿宋_GB2312"/>
                <w:sz w:val="24"/>
                <w:b/>
              </w:rPr>
              <w:t>三、编制依据</w:t>
            </w:r>
          </w:p>
          <w:p>
            <w:pPr>
              <w:pStyle w:val="null3"/>
              <w:ind w:firstLine="482"/>
            </w:pPr>
            <w:r>
              <w:rPr>
                <w:rFonts w:ascii="仿宋_GB2312" w:hAnsi="仿宋_GB2312" w:cs="仿宋_GB2312" w:eastAsia="仿宋_GB2312"/>
                <w:sz w:val="24"/>
              </w:rPr>
              <w:t>1、建设单位要求、设计图纸、答疑回复及清单计价文件等相关资料。</w:t>
            </w:r>
          </w:p>
          <w:p>
            <w:pPr>
              <w:pStyle w:val="null3"/>
              <w:ind w:firstLine="482"/>
            </w:pPr>
            <w:r>
              <w:rPr>
                <w:rFonts w:ascii="仿宋_GB2312" w:hAnsi="仿宋_GB2312" w:cs="仿宋_GB2312" w:eastAsia="仿宋_GB2312"/>
                <w:sz w:val="24"/>
              </w:rPr>
              <w:t>2、《陕西省建设工程工程量清单计价规则》【2009】。</w:t>
            </w:r>
          </w:p>
          <w:p>
            <w:pPr>
              <w:pStyle w:val="null3"/>
              <w:ind w:firstLine="482"/>
            </w:pPr>
            <w:r>
              <w:rPr>
                <w:rFonts w:ascii="仿宋_GB2312" w:hAnsi="仿宋_GB2312" w:cs="仿宋_GB2312" w:eastAsia="仿宋_GB2312"/>
                <w:sz w:val="24"/>
              </w:rPr>
              <w:t>3、《陕西省建筑、安装、市政、园林工程消耗量定额》（2004）、《陕西省建设工程消耗量定额（2004）补充定额）》（2004）及勘误表（2009）。</w:t>
            </w:r>
          </w:p>
          <w:p>
            <w:pPr>
              <w:pStyle w:val="null3"/>
              <w:ind w:firstLine="482"/>
            </w:pPr>
            <w:r>
              <w:rPr>
                <w:rFonts w:ascii="仿宋_GB2312" w:hAnsi="仿宋_GB2312" w:cs="仿宋_GB2312" w:eastAsia="仿宋_GB2312"/>
                <w:sz w:val="24"/>
              </w:rPr>
              <w:t>4、《陕西省建筑装饰、安装、市政、园林绿化工程价目表》（2009）、</w:t>
            </w:r>
          </w:p>
          <w:p>
            <w:pPr>
              <w:pStyle w:val="null3"/>
              <w:ind w:firstLine="482"/>
            </w:pPr>
            <w:r>
              <w:rPr>
                <w:rFonts w:ascii="仿宋_GB2312" w:hAnsi="仿宋_GB2312" w:cs="仿宋_GB2312" w:eastAsia="仿宋_GB2312"/>
                <w:sz w:val="24"/>
              </w:rPr>
              <w:t>《全统修缮定额土建工程陕西省价目表》（</w:t>
            </w:r>
            <w:r>
              <w:rPr>
                <w:rFonts w:ascii="仿宋_GB2312" w:hAnsi="仿宋_GB2312" w:cs="仿宋_GB2312" w:eastAsia="仿宋_GB2312"/>
                <w:sz w:val="24"/>
              </w:rPr>
              <w:t>2001）、《陕西省建设工程工程量清单计价费率》（2009）及相关配套文件。</w:t>
            </w:r>
          </w:p>
          <w:p>
            <w:pPr>
              <w:pStyle w:val="null3"/>
              <w:ind w:firstLine="482"/>
            </w:pPr>
            <w:r>
              <w:rPr>
                <w:rFonts w:ascii="仿宋_GB2312" w:hAnsi="仿宋_GB2312" w:cs="仿宋_GB2312" w:eastAsia="仿宋_GB2312"/>
                <w:sz w:val="24"/>
              </w:rPr>
              <w:t>5、陕西省建设厅《陕西省建筑装饰、安装、市政、园林绿化工程参考费率》【2009】。</w:t>
            </w:r>
          </w:p>
          <w:p>
            <w:pPr>
              <w:pStyle w:val="null3"/>
              <w:ind w:firstLine="482"/>
            </w:pPr>
            <w:r>
              <w:rPr>
                <w:rFonts w:ascii="仿宋_GB2312" w:hAnsi="仿宋_GB2312" w:cs="仿宋_GB2312" w:eastAsia="仿宋_GB2312"/>
                <w:sz w:val="24"/>
              </w:rPr>
              <w:t>6、陕建发【2021】1097号《关于调整房屋建筑和市政基础设施工程工程量清单计价综合人工单价的通知》。</w:t>
            </w:r>
          </w:p>
          <w:p>
            <w:pPr>
              <w:pStyle w:val="null3"/>
              <w:ind w:firstLine="482"/>
            </w:pPr>
            <w:r>
              <w:rPr>
                <w:rFonts w:ascii="仿宋_GB2312" w:hAnsi="仿宋_GB2312" w:cs="仿宋_GB2312" w:eastAsia="仿宋_GB2312"/>
                <w:sz w:val="24"/>
              </w:rPr>
              <w:t>7、陕建发【2019】45号《关于调整陕西省建设工程计价依据的通知》。</w:t>
            </w:r>
          </w:p>
          <w:p>
            <w:pPr>
              <w:pStyle w:val="null3"/>
              <w:ind w:firstLine="482"/>
            </w:pPr>
            <w:r>
              <w:rPr>
                <w:rFonts w:ascii="仿宋_GB2312" w:hAnsi="仿宋_GB2312" w:cs="仿宋_GB2312" w:eastAsia="仿宋_GB2312"/>
                <w:sz w:val="24"/>
              </w:rPr>
              <w:t>8、陕建发【2019】1246号《关于发布我省落实建筑工人实名制管理计价依据的通知》。</w:t>
            </w:r>
          </w:p>
          <w:p>
            <w:pPr>
              <w:pStyle w:val="null3"/>
              <w:ind w:firstLine="482"/>
              <w:jc w:val="both"/>
            </w:pPr>
            <w:r>
              <w:rPr>
                <w:rFonts w:ascii="仿宋_GB2312" w:hAnsi="仿宋_GB2312" w:cs="仿宋_GB2312" w:eastAsia="仿宋_GB2312"/>
                <w:sz w:val="24"/>
              </w:rPr>
              <w:t>9、规费按陕建发[2020]1097号文件执行；养老保险统筹按照陕建发[2021]1021号文件执行。</w:t>
            </w:r>
          </w:p>
          <w:p>
            <w:pPr>
              <w:pStyle w:val="null3"/>
              <w:jc w:val="both"/>
            </w:pPr>
            <w:r>
              <w:rPr>
                <w:rFonts w:ascii="仿宋_GB2312" w:hAnsi="仿宋_GB2312" w:cs="仿宋_GB2312" w:eastAsia="仿宋_GB2312"/>
                <w:sz w:val="24"/>
                <w:b/>
              </w:rPr>
              <w:t>2、工程量清单、图纸：具体详见本项目清单工程量、图纸。</w:t>
            </w:r>
          </w:p>
          <w:p>
            <w:pPr>
              <w:pStyle w:val="null3"/>
            </w:pPr>
            <w:r>
              <w:rPr>
                <w:rFonts w:ascii="仿宋_GB2312" w:hAnsi="仿宋_GB2312" w:cs="仿宋_GB2312" w:eastAsia="仿宋_GB2312"/>
                <w:sz w:val="24"/>
                <w:b/>
              </w:rPr>
              <w:t>3、主要材料技术指标要求清单</w:t>
            </w:r>
          </w:p>
          <w:tbl>
            <w:tblPr>
              <w:tblBorders>
                <w:top w:val="none" w:color="000000" w:sz="4"/>
                <w:left w:val="none" w:color="000000" w:sz="4"/>
                <w:bottom w:val="none" w:color="000000" w:sz="4"/>
                <w:right w:val="none" w:color="000000" w:sz="4"/>
                <w:insideH w:val="none"/>
                <w:insideV w:val="none"/>
              </w:tblBorders>
            </w:tblPr>
            <w:tblGrid>
              <w:gridCol w:w="203"/>
              <w:gridCol w:w="219"/>
              <w:gridCol w:w="349"/>
              <w:gridCol w:w="1572"/>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材料名称</w:t>
                  </w:r>
                </w:p>
              </w:tc>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参数、标准、要求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装饰装修</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乳胶漆</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乳胶漆挥发性有机化合物含量（60°光泽≤10）≤50g/L</w:t>
                  </w:r>
                </w:p>
                <w:p>
                  <w:pPr>
                    <w:pStyle w:val="null3"/>
                    <w:jc w:val="left"/>
                  </w:pPr>
                  <w:r>
                    <w:rPr>
                      <w:rFonts w:ascii="仿宋_GB2312" w:hAnsi="仿宋_GB2312" w:cs="仿宋_GB2312" w:eastAsia="仿宋_GB2312"/>
                      <w:sz w:val="24"/>
                    </w:rPr>
                    <w:t>2. 乳胶漆挥发性有机化合物含量（60°光泽＞10）≤80g/L</w:t>
                  </w:r>
                </w:p>
                <w:p>
                  <w:pPr>
                    <w:pStyle w:val="null3"/>
                    <w:jc w:val="left"/>
                  </w:pPr>
                  <w:r>
                    <w:rPr>
                      <w:rFonts w:ascii="仿宋_GB2312" w:hAnsi="仿宋_GB2312" w:cs="仿宋_GB2312" w:eastAsia="仿宋_GB2312"/>
                      <w:sz w:val="24"/>
                    </w:rPr>
                    <w:t>3. 乳胶漆甲醛含量（乙酰丙酮法）≤30mg/kg</w:t>
                  </w:r>
                </w:p>
                <w:p>
                  <w:pPr>
                    <w:pStyle w:val="null3"/>
                    <w:jc w:val="left"/>
                  </w:pPr>
                  <w:r>
                    <w:rPr>
                      <w:rFonts w:ascii="仿宋_GB2312" w:hAnsi="仿宋_GB2312" w:cs="仿宋_GB2312" w:eastAsia="仿宋_GB2312"/>
                      <w:sz w:val="24"/>
                    </w:rPr>
                    <w:t>4. 乳胶漆苯、甲苯、乙苯、二甲苯总和≤80mg/kg</w:t>
                  </w:r>
                </w:p>
                <w:p>
                  <w:pPr>
                    <w:pStyle w:val="null3"/>
                    <w:jc w:val="left"/>
                  </w:pPr>
                  <w:r>
                    <w:rPr>
                      <w:rFonts w:ascii="仿宋_GB2312" w:hAnsi="仿宋_GB2312" w:cs="仿宋_GB2312" w:eastAsia="仿宋_GB2312"/>
                      <w:sz w:val="24"/>
                    </w:rPr>
                    <w:t>5.耐洗刷性：≥6000 次</w:t>
                  </w:r>
                </w:p>
                <w:p>
                  <w:pPr>
                    <w:pStyle w:val="null3"/>
                    <w:jc w:val="left"/>
                  </w:pPr>
                  <w:r>
                    <w:rPr>
                      <w:rFonts w:ascii="仿宋_GB2312" w:hAnsi="仿宋_GB2312" w:cs="仿宋_GB2312" w:eastAsia="仿宋_GB2312"/>
                      <w:sz w:val="24"/>
                    </w:rPr>
                    <w:t>非工程款竹炭净味漆，节能环保产品，符合本项目工程量清单、施工图纸相关要求，符合国家相关标准、规范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墙地瓷砖</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1.产品内照射指数 IRa≤0.9</w:t>
                  </w:r>
                </w:p>
                <w:p>
                  <w:pPr>
                    <w:pStyle w:val="null3"/>
                    <w:jc w:val="left"/>
                  </w:pPr>
                  <w:r>
                    <w:rPr>
                      <w:rFonts w:ascii="仿宋_GB2312" w:hAnsi="仿宋_GB2312" w:cs="仿宋_GB2312" w:eastAsia="仿宋_GB2312"/>
                      <w:sz w:val="24"/>
                    </w:rPr>
                    <w:t>2.外照射指数 Ir≤1.2</w:t>
                  </w:r>
                </w:p>
                <w:p>
                  <w:pPr>
                    <w:pStyle w:val="null3"/>
                    <w:jc w:val="left"/>
                  </w:pPr>
                  <w:r>
                    <w:rPr>
                      <w:rFonts w:ascii="仿宋_GB2312" w:hAnsi="仿宋_GB2312" w:cs="仿宋_GB2312" w:eastAsia="仿宋_GB2312"/>
                      <w:sz w:val="24"/>
                    </w:rPr>
                    <w:t>3.无釉陶瓷砖、板耐污染性≥3 级</w:t>
                  </w:r>
                </w:p>
                <w:p>
                  <w:pPr>
                    <w:pStyle w:val="null3"/>
                    <w:jc w:val="left"/>
                  </w:pPr>
                  <w:r>
                    <w:rPr>
                      <w:rFonts w:ascii="仿宋_GB2312" w:hAnsi="仿宋_GB2312" w:cs="仿宋_GB2312" w:eastAsia="仿宋_GB2312"/>
                      <w:sz w:val="24"/>
                    </w:rPr>
                    <w:t>4.有釉陶瓷砖、板耐污染性≥4 级</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阻燃木工板</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15mm厚，节能环保产品，符合本项目工程量清单、施工图纸相关要求，符合国家相关标准、规范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石膏板</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9/12mm厚节能环保产品，符合本项目工程量清单、施工图纸相关要求，符合国家相关标准、规范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轻钢龙骨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1.单位产品总挥发性有机物（TVOC）含量≤80g/kg</w:t>
                  </w:r>
                </w:p>
                <w:p>
                  <w:pPr>
                    <w:pStyle w:val="null3"/>
                    <w:jc w:val="left"/>
                  </w:pPr>
                  <w:r>
                    <w:rPr>
                      <w:rFonts w:ascii="仿宋_GB2312" w:hAnsi="仿宋_GB2312" w:cs="仿宋_GB2312" w:eastAsia="仿宋_GB2312"/>
                      <w:sz w:val="24"/>
                    </w:rPr>
                    <w:t>2.烷烃增塑剂（红外光谱）不得检出</w:t>
                  </w:r>
                </w:p>
                <w:p>
                  <w:pPr>
                    <w:pStyle w:val="null3"/>
                    <w:jc w:val="left"/>
                  </w:pPr>
                  <w:r>
                    <w:rPr>
                      <w:rFonts w:ascii="仿宋_GB2312" w:hAnsi="仿宋_GB2312" w:cs="仿宋_GB2312" w:eastAsia="仿宋_GB2312"/>
                      <w:sz w:val="24"/>
                    </w:rPr>
                    <w:t>3. 密封胶分级达到 20HM、25HM、20LM</w:t>
                  </w:r>
                </w:p>
                <w:p>
                  <w:pPr>
                    <w:pStyle w:val="null3"/>
                    <w:jc w:val="left"/>
                  </w:pPr>
                  <w:r>
                    <w:rPr>
                      <w:rFonts w:ascii="仿宋_GB2312" w:hAnsi="仿宋_GB2312" w:cs="仿宋_GB2312" w:eastAsia="仿宋_GB2312"/>
                      <w:sz w:val="24"/>
                    </w:rPr>
                    <w:t>4.符合《胶粘剂中有害物质限量》</w:t>
                  </w:r>
                  <w:r>
                    <w:rPr>
                      <w:rFonts w:ascii="仿宋_GB2312" w:hAnsi="仿宋_GB2312" w:cs="仿宋_GB2312" w:eastAsia="仿宋_GB2312"/>
                      <w:sz w:val="24"/>
                    </w:rPr>
                    <w:t>GB</w:t>
                  </w:r>
                  <w:r>
                    <w:rPr>
                      <w:rFonts w:ascii="仿宋_GB2312" w:hAnsi="仿宋_GB2312" w:cs="仿宋_GB2312" w:eastAsia="仿宋_GB2312"/>
                      <w:sz w:val="24"/>
                    </w:rPr>
                    <w:t xml:space="preserve"> </w:t>
                  </w:r>
                  <w:r>
                    <w:rPr>
                      <w:rFonts w:ascii="仿宋_GB2312" w:hAnsi="仿宋_GB2312" w:cs="仿宋_GB2312" w:eastAsia="仿宋_GB2312"/>
                      <w:sz w:val="24"/>
                    </w:rPr>
                    <w:t>18583-2008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1.单位产品总挥发性有机物（TVOC）含量≤80g/kg</w:t>
                  </w:r>
                </w:p>
                <w:p>
                  <w:pPr>
                    <w:pStyle w:val="null3"/>
                    <w:jc w:val="left"/>
                  </w:pPr>
                  <w:r>
                    <w:rPr>
                      <w:rFonts w:ascii="仿宋_GB2312" w:hAnsi="仿宋_GB2312" w:cs="仿宋_GB2312" w:eastAsia="仿宋_GB2312"/>
                      <w:sz w:val="24"/>
                    </w:rPr>
                    <w:t>2.烷烃增塑剂（红外光谱）不得检出</w:t>
                  </w:r>
                </w:p>
                <w:p>
                  <w:pPr>
                    <w:pStyle w:val="null3"/>
                    <w:jc w:val="left"/>
                  </w:pPr>
                  <w:r>
                    <w:rPr>
                      <w:rFonts w:ascii="仿宋_GB2312" w:hAnsi="仿宋_GB2312" w:cs="仿宋_GB2312" w:eastAsia="仿宋_GB2312"/>
                      <w:sz w:val="24"/>
                    </w:rPr>
                    <w:t>3.23℃拉伸粘结强度标准值≥0.6MPa</w:t>
                  </w:r>
                </w:p>
                <w:p>
                  <w:pPr>
                    <w:pStyle w:val="null3"/>
                    <w:jc w:val="left"/>
                  </w:pPr>
                  <w:r>
                    <w:rPr>
                      <w:rFonts w:ascii="仿宋_GB2312" w:hAnsi="仿宋_GB2312" w:cs="仿宋_GB2312" w:eastAsia="仿宋_GB2312"/>
                      <w:sz w:val="24"/>
                    </w:rPr>
                    <w:t>4.粘结破坏面积≤5%</w:t>
                  </w:r>
                </w:p>
                <w:p>
                  <w:pPr>
                    <w:pStyle w:val="null3"/>
                    <w:jc w:val="left"/>
                  </w:pPr>
                  <w:r>
                    <w:rPr>
                      <w:rFonts w:ascii="仿宋_GB2312" w:hAnsi="仿宋_GB2312" w:cs="仿宋_GB2312" w:eastAsia="仿宋_GB2312"/>
                      <w:sz w:val="24"/>
                    </w:rPr>
                    <w:t>4.符合《胶粘剂中有害物质限量》</w:t>
                  </w:r>
                  <w:r>
                    <w:rPr>
                      <w:rFonts w:ascii="仿宋_GB2312" w:hAnsi="仿宋_GB2312" w:cs="仿宋_GB2312" w:eastAsia="仿宋_GB2312"/>
                      <w:sz w:val="24"/>
                    </w:rPr>
                    <w:t>GB</w:t>
                  </w:r>
                  <w:r>
                    <w:rPr>
                      <w:rFonts w:ascii="仿宋_GB2312" w:hAnsi="仿宋_GB2312" w:cs="仿宋_GB2312" w:eastAsia="仿宋_GB2312"/>
                      <w:sz w:val="24"/>
                    </w:rPr>
                    <w:t xml:space="preserve"> </w:t>
                  </w:r>
                  <w:r>
                    <w:rPr>
                      <w:rFonts w:ascii="仿宋_GB2312" w:hAnsi="仿宋_GB2312" w:cs="仿宋_GB2312" w:eastAsia="仿宋_GB2312"/>
                      <w:sz w:val="24"/>
                    </w:rPr>
                    <w:t>18583-2008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橡木指接板</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18厚，节能环保产品，符合本项目工程量清单、施工图纸相关要求，符合国家相关标准、规范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真石漆</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理论涂布率：</w:t>
                  </w:r>
                  <w:r>
                    <w:rPr>
                      <w:rFonts w:ascii="仿宋_GB2312" w:hAnsi="仿宋_GB2312" w:cs="仿宋_GB2312" w:eastAsia="仿宋_GB2312"/>
                      <w:sz w:val="24"/>
                    </w:rPr>
                    <w:t>0.3-0.4平方米/千克</w:t>
                  </w:r>
                </w:p>
                <w:p>
                  <w:pPr>
                    <w:pStyle w:val="null3"/>
                    <w:jc w:val="left"/>
                  </w:pPr>
                  <w:r>
                    <w:rPr>
                      <w:rFonts w:ascii="仿宋_GB2312" w:hAnsi="仿宋_GB2312" w:cs="仿宋_GB2312" w:eastAsia="仿宋_GB2312"/>
                      <w:sz w:val="24"/>
                    </w:rPr>
                    <w:t>，表干＜</w:t>
                  </w:r>
                  <w:r>
                    <w:rPr>
                      <w:rFonts w:ascii="仿宋_GB2312" w:hAnsi="仿宋_GB2312" w:cs="仿宋_GB2312" w:eastAsia="仿宋_GB2312"/>
                      <w:sz w:val="24"/>
                    </w:rPr>
                    <w:t>2小时，实干＜48小时，不含铅和汞，25摄氏度对湿度75%，符合本项目工程量清单、施工图纸相关要求和国家相关标准、规范。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氟碳漆</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1.含氟量不低于18%；耐洗刷性（次）&gt; 1000；</w:t>
                  </w:r>
                </w:p>
                <w:p>
                  <w:pPr>
                    <w:pStyle w:val="null3"/>
                    <w:jc w:val="left"/>
                  </w:pPr>
                  <w:r>
                    <w:rPr>
                      <w:rFonts w:ascii="仿宋_GB2312" w:hAnsi="仿宋_GB2312" w:cs="仿宋_GB2312" w:eastAsia="仿宋_GB2312"/>
                      <w:sz w:val="24"/>
                    </w:rPr>
                    <w:t>耐污染性（反射系数下降率，</w:t>
                  </w:r>
                  <w:r>
                    <w:rPr>
                      <w:rFonts w:ascii="仿宋_GB2312" w:hAnsi="仿宋_GB2312" w:cs="仿宋_GB2312" w:eastAsia="仿宋_GB2312"/>
                      <w:sz w:val="24"/>
                    </w:rPr>
                    <w:t>%）&lt; 5；冲击强度（kgNaN）：50</w:t>
                  </w:r>
                </w:p>
                <w:p>
                  <w:pPr>
                    <w:pStyle w:val="null3"/>
                    <w:jc w:val="left"/>
                  </w:pPr>
                  <w:r>
                    <w:rPr>
                      <w:rFonts w:ascii="仿宋_GB2312" w:hAnsi="仿宋_GB2312" w:cs="仿宋_GB2312" w:eastAsia="仿宋_GB2312"/>
                      <w:sz w:val="24"/>
                    </w:rPr>
                    <w:t>2.耐水（200h）；耐溶剂（苯10d、挥发油10d） ；</w:t>
                  </w:r>
                </w:p>
                <w:p>
                  <w:pPr>
                    <w:pStyle w:val="null3"/>
                    <w:jc w:val="left"/>
                  </w:pPr>
                  <w:r>
                    <w:rPr>
                      <w:rFonts w:ascii="仿宋_GB2312" w:hAnsi="仿宋_GB2312" w:cs="仿宋_GB2312" w:eastAsia="仿宋_GB2312"/>
                      <w:sz w:val="24"/>
                    </w:rPr>
                    <w:t>耐盐雾（</w:t>
                  </w:r>
                  <w:r>
                    <w:rPr>
                      <w:rFonts w:ascii="仿宋_GB2312" w:hAnsi="仿宋_GB2312" w:cs="仿宋_GB2312" w:eastAsia="仿宋_GB2312"/>
                      <w:sz w:val="24"/>
                    </w:rPr>
                    <w:t>1000h）；耐油性（70# 汽油30天）耐腐蚀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 硫酸、盐酸30天）；耐腐蚀（10% 氢氧化钠30天）</w:t>
                  </w:r>
                </w:p>
                <w:p>
                  <w:pPr>
                    <w:pStyle w:val="null3"/>
                    <w:jc w:val="left"/>
                  </w:pPr>
                  <w:r>
                    <w:rPr>
                      <w:rFonts w:ascii="仿宋_GB2312" w:hAnsi="仿宋_GB2312" w:cs="仿宋_GB2312" w:eastAsia="仿宋_GB2312"/>
                      <w:sz w:val="24"/>
                    </w:rPr>
                    <w:t>3.节能环保产品，符合本项目工程量清单相关要求，符合国家相关标准、规范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钢材</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符合本项目工程量清单、施工图纸相关要求和国家相关标准、规范。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符合本项目工程量清单、施工图纸相关要求和国家相关标准、规范。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防火涂料</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符合本项目工程量清单、施工图纸相关要求和国家相关标准、规范。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1.符合本项目工程量清单、施工图纸相关要求和国家相关标准、规范；</w:t>
                  </w:r>
                </w:p>
                <w:p>
                  <w:pPr>
                    <w:pStyle w:val="null3"/>
                    <w:jc w:val="left"/>
                  </w:pPr>
                  <w:r>
                    <w:rPr>
                      <w:rFonts w:ascii="仿宋_GB2312" w:hAnsi="仿宋_GB2312" w:cs="仿宋_GB2312" w:eastAsia="仿宋_GB2312"/>
                      <w:sz w:val="24"/>
                    </w:rPr>
                    <w:t>2.箱体、元器件安装底板均采用大型钢厂冷轧钢板。配电箱箱体为喷塑，颜色为电脑灰色；安装底板应镀锌；</w:t>
                  </w:r>
                </w:p>
                <w:p>
                  <w:pPr>
                    <w:pStyle w:val="null3"/>
                    <w:jc w:val="left"/>
                  </w:pPr>
                  <w:r>
                    <w:rPr>
                      <w:rFonts w:ascii="仿宋_GB2312" w:hAnsi="仿宋_GB2312" w:cs="仿宋_GB2312" w:eastAsia="仿宋_GB2312"/>
                      <w:sz w:val="24"/>
                    </w:rPr>
                    <w:t>3.箱内布线要分色；一次线、铜排、辅料均采用合格产品。</w:t>
                  </w:r>
                </w:p>
                <w:p>
                  <w:pPr>
                    <w:pStyle w:val="null3"/>
                    <w:jc w:val="left"/>
                  </w:pPr>
                  <w:r>
                    <w:rPr>
                      <w:rFonts w:ascii="仿宋_GB2312" w:hAnsi="仿宋_GB2312" w:cs="仿宋_GB2312" w:eastAsia="仿宋_GB2312"/>
                      <w:sz w:val="24"/>
                    </w:rPr>
                    <w:t>4.施工图纸中箱体规格尺寸仅供参考，报价不再因箱体尺寸变化而变化</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电线</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采用低烟低毒阻燃型线缆、矿物绝缘类不燃性电缆等，且导体材料采用铜芯</w:t>
                  </w:r>
                  <w:r>
                    <w:rPr>
                      <w:rFonts w:ascii="仿宋_GB2312" w:hAnsi="仿宋_GB2312" w:cs="仿宋_GB2312" w:eastAsia="仿宋_GB2312"/>
                      <w:sz w:val="24"/>
                    </w:rPr>
                    <w:t>,中国机械工业百强工厂产品，</w:t>
                  </w:r>
                  <w:r>
                    <w:rPr>
                      <w:rFonts w:ascii="仿宋_GB2312" w:hAnsi="仿宋_GB2312" w:cs="仿宋_GB2312" w:eastAsia="仿宋_GB2312"/>
                      <w:sz w:val="24"/>
                    </w:rPr>
                    <w:t>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线管</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开关</w:t>
                  </w:r>
                  <w:r>
                    <w:rPr>
                      <w:rFonts w:ascii="仿宋_GB2312" w:hAnsi="仿宋_GB2312" w:cs="仿宋_GB2312" w:eastAsia="仿宋_GB2312"/>
                      <w:sz w:val="24"/>
                    </w:rPr>
                    <w:t>/插座面板</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220V，64A/32A/16A/10A等，节能环保产品，符合本项目工程量清单、施工图纸相关要求，符合国家相关标准、规范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空气开关</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16/32A等，带漏电保护。节能环保产品，符合本项目工程量清单、施工图纸相关要求，符合国家相关标准、规范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19"/>
                  <w:vMerge/>
                  <w:tcBorders>
                    <w:top w:val="none" w:color="000000" w:sz="4"/>
                    <w:left w:val="single" w:color="000000" w:sz="4"/>
                    <w:bottom w:val="single" w:color="000000" w:sz="4"/>
                    <w:right w:val="single" w:color="000000" w:sz="4"/>
                  </w:tcBorders>
                </w:tc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照明灯具</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参数详见设计图纸、工程量清单，符合本项目工程量清单、施工图纸相关要求，符合国家相关标准、规范</w:t>
                  </w:r>
                </w:p>
              </w:tc>
            </w:tr>
          </w:tbl>
          <w:p>
            <w:pPr>
              <w:pStyle w:val="null3"/>
            </w:pPr>
            <w:r>
              <w:rPr>
                <w:rFonts w:ascii="仿宋_GB2312" w:hAnsi="仿宋_GB2312" w:cs="仿宋_GB2312" w:eastAsia="仿宋_GB2312"/>
                <w:sz w:val="24"/>
                <w:b/>
              </w:rPr>
              <w:t>二、商务要求（实质性要求，不允许负偏离）：</w:t>
            </w:r>
          </w:p>
          <w:p>
            <w:pPr>
              <w:pStyle w:val="null3"/>
            </w:pPr>
            <w:r>
              <w:rPr>
                <w:rFonts w:ascii="仿宋_GB2312" w:hAnsi="仿宋_GB2312" w:cs="仿宋_GB2312" w:eastAsia="仿宋_GB2312"/>
                <w:sz w:val="24"/>
                <w:b/>
              </w:rPr>
              <w:t>商务要求：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工期：</w:t>
            </w:r>
            <w:r>
              <w:rPr>
                <w:rFonts w:ascii="仿宋_GB2312" w:hAnsi="仿宋_GB2312" w:cs="仿宋_GB2312" w:eastAsia="仿宋_GB2312"/>
                <w:sz w:val="24"/>
                <w:b/>
              </w:rPr>
              <w:t>45日历</w:t>
            </w:r>
            <w:r>
              <w:rPr>
                <w:rFonts w:ascii="仿宋_GB2312" w:hAnsi="仿宋_GB2312" w:cs="仿宋_GB2312" w:eastAsia="仿宋_GB2312"/>
                <w:sz w:val="24"/>
                <w:b/>
              </w:rPr>
              <w:t>天，根据项目实际需求及使用单位要求确定</w:t>
            </w:r>
            <w:r>
              <w:rPr>
                <w:rFonts w:ascii="仿宋_GB2312" w:hAnsi="仿宋_GB2312" w:cs="仿宋_GB2312" w:eastAsia="仿宋_GB2312"/>
                <w:sz w:val="24"/>
              </w:rPr>
              <w:t>。</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付款方式要求及履约保证金</w:t>
            </w:r>
          </w:p>
          <w:p>
            <w:pPr>
              <w:pStyle w:val="null3"/>
              <w:spacing w:before="120"/>
              <w:ind w:firstLine="482"/>
              <w:jc w:val="both"/>
            </w:pPr>
            <w:r>
              <w:rPr>
                <w:rFonts w:ascii="仿宋_GB2312" w:hAnsi="仿宋_GB2312" w:cs="仿宋_GB2312" w:eastAsia="仿宋_GB2312"/>
                <w:sz w:val="24"/>
                <w:b/>
              </w:rPr>
              <w:t>（</w:t>
            </w:r>
            <w:r>
              <w:rPr>
                <w:rFonts w:ascii="仿宋_GB2312" w:hAnsi="仿宋_GB2312" w:cs="仿宋_GB2312" w:eastAsia="仿宋_GB2312"/>
                <w:sz w:val="24"/>
                <w:b/>
              </w:rPr>
              <w:t>1）付款方式要求</w:t>
            </w:r>
          </w:p>
          <w:p>
            <w:pPr>
              <w:pStyle w:val="null3"/>
              <w:ind w:firstLine="482"/>
              <w:jc w:val="both"/>
            </w:pPr>
            <w:r>
              <w:rPr>
                <w:rFonts w:ascii="仿宋_GB2312" w:hAnsi="仿宋_GB2312" w:cs="仿宋_GB2312" w:eastAsia="仿宋_GB2312"/>
                <w:sz w:val="24"/>
                <w:b/>
                <w:u w:val="single"/>
              </w:rPr>
              <w:t>□签订合同完毕，供应商提供银行等金融机构出具的预付款保函或其他担保措施，甲方支付合同总价的40%作为预付款。</w:t>
            </w:r>
          </w:p>
          <w:p>
            <w:pPr>
              <w:pStyle w:val="null3"/>
              <w:ind w:firstLine="482"/>
              <w:jc w:val="both"/>
            </w:pPr>
            <w:r>
              <w:rPr>
                <w:rFonts w:ascii="仿宋_GB2312" w:hAnsi="仿宋_GB2312" w:cs="仿宋_GB2312" w:eastAsia="仿宋_GB2312"/>
                <w:sz w:val="24"/>
                <w:b/>
                <w:u w:val="single"/>
              </w:rPr>
              <w:t>□签订合同完毕，供应商无法提供预付款保函或其他担保措施，施工完成清单内全部工程内容后，支付合同额50%进度款。</w:t>
            </w:r>
          </w:p>
          <w:p>
            <w:pPr>
              <w:pStyle w:val="null3"/>
              <w:ind w:firstLine="482"/>
              <w:jc w:val="both"/>
            </w:pPr>
            <w:r>
              <w:rPr>
                <w:rFonts w:ascii="仿宋_GB2312" w:hAnsi="仿宋_GB2312" w:cs="仿宋_GB2312" w:eastAsia="仿宋_GB2312"/>
                <w:sz w:val="24"/>
                <w:b/>
                <w:u w:val="single"/>
              </w:rPr>
              <w:t>工程竣工验收合格后经审计部门或其委托有工程造价咨询资质的机构审定结算后，缴纳施工水电费后，支付至审定结算价的</w:t>
            </w:r>
            <w:r>
              <w:rPr>
                <w:rFonts w:ascii="仿宋_GB2312" w:hAnsi="仿宋_GB2312" w:cs="仿宋_GB2312" w:eastAsia="仿宋_GB2312"/>
                <w:sz w:val="24"/>
                <w:b/>
                <w:u w:val="single"/>
              </w:rPr>
              <w:t>100%；但在国家规定的保修期限内，保修责任仍由承包人继续承担。</w:t>
            </w:r>
          </w:p>
          <w:p>
            <w:pPr>
              <w:pStyle w:val="null3"/>
              <w:ind w:firstLine="482"/>
              <w:jc w:val="both"/>
            </w:pPr>
            <w:r>
              <w:rPr>
                <w:rFonts w:ascii="仿宋_GB2312" w:hAnsi="仿宋_GB2312" w:cs="仿宋_GB2312" w:eastAsia="仿宋_GB2312"/>
                <w:sz w:val="24"/>
                <w:b/>
                <w:u w:val="single"/>
              </w:rPr>
              <w:t>本工程的工程量据实结算，若乙方报送的原始结算价超出甲方审定结算价的</w:t>
            </w:r>
            <w:r>
              <w:rPr>
                <w:rFonts w:ascii="仿宋_GB2312" w:hAnsi="仿宋_GB2312" w:cs="仿宋_GB2312" w:eastAsia="仿宋_GB2312"/>
                <w:sz w:val="24"/>
                <w:b/>
                <w:u w:val="single"/>
              </w:rPr>
              <w:t>3％，则乙方承担全部审计费，在结算付款时一次性扣除。</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w:t>
            </w:r>
            <w:r>
              <w:rPr>
                <w:rFonts w:ascii="仿宋_GB2312" w:hAnsi="仿宋_GB2312" w:cs="仿宋_GB2312" w:eastAsia="仿宋_GB2312"/>
                <w:sz w:val="24"/>
                <w:b/>
              </w:rPr>
              <w:t>2）履约保证金要求</w:t>
            </w:r>
          </w:p>
          <w:p>
            <w:pPr>
              <w:pStyle w:val="null3"/>
              <w:ind w:firstLine="480"/>
              <w:jc w:val="both"/>
            </w:pPr>
            <w:r>
              <w:rPr>
                <w:rFonts w:ascii="仿宋_GB2312" w:hAnsi="仿宋_GB2312" w:cs="仿宋_GB2312" w:eastAsia="仿宋_GB2312"/>
                <w:sz w:val="24"/>
                <w:u w:val="single"/>
              </w:rPr>
              <w:t>履约保证金基本要求：供应商成交后凭成交通知书向采购人缴纳成交金额的</w:t>
            </w:r>
            <w:r>
              <w:rPr>
                <w:rFonts w:ascii="仿宋_GB2312" w:hAnsi="仿宋_GB2312" w:cs="仿宋_GB2312" w:eastAsia="仿宋_GB2312"/>
                <w:sz w:val="24"/>
                <w:u w:val="single"/>
              </w:rPr>
              <w:t>5%作为履约保证金，待合同履约完毕后无息退还。</w:t>
            </w:r>
          </w:p>
          <w:p>
            <w:pPr>
              <w:pStyle w:val="null3"/>
            </w:pPr>
            <w:r>
              <w:rPr>
                <w:rFonts w:ascii="仿宋_GB2312" w:hAnsi="仿宋_GB2312" w:cs="仿宋_GB2312" w:eastAsia="仿宋_GB2312"/>
                <w:sz w:val="24"/>
                <w:b/>
              </w:rPr>
              <w:t>3.质保期及质保保修要求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1）质保期：本项目竣工验收合格通过之日起</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贰</w:t>
            </w:r>
            <w:r>
              <w:rPr>
                <w:rFonts w:ascii="仿宋_GB2312" w:hAnsi="仿宋_GB2312" w:cs="仿宋_GB2312" w:eastAsia="仿宋_GB2312"/>
                <w:sz w:val="24"/>
                <w:b/>
              </w:rPr>
              <w:t>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2）保修要求</w:t>
            </w:r>
          </w:p>
          <w:p>
            <w:pPr>
              <w:pStyle w:val="null3"/>
              <w:ind w:firstLine="480"/>
              <w:jc w:val="both"/>
            </w:pPr>
            <w:r>
              <w:rPr>
                <w:rFonts w:ascii="仿宋_GB2312" w:hAnsi="仿宋_GB2312" w:cs="仿宋_GB2312" w:eastAsia="仿宋_GB2312"/>
                <w:sz w:val="24"/>
              </w:rPr>
              <w:t>①属于保修范围和内容的项目，承包人应在接到维修通知后，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天内派人维修。发生紧急抢修事故（如上水管跑水、爆裂，供电设施漏、断电等），承包人应在接到事故通知后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2 </w:t>
            </w:r>
            <w:r>
              <w:rPr>
                <w:rFonts w:ascii="仿宋_GB2312" w:hAnsi="仿宋_GB2312" w:cs="仿宋_GB2312" w:eastAsia="仿宋_GB2312"/>
                <w:sz w:val="24"/>
              </w:rPr>
              <w:t>小时内到达事故现场并于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4 </w:t>
            </w:r>
            <w:r>
              <w:rPr>
                <w:rFonts w:ascii="仿宋_GB2312" w:hAnsi="仿宋_GB2312" w:cs="仿宋_GB2312" w:eastAsia="仿宋_GB2312"/>
                <w:sz w:val="24"/>
              </w:rPr>
              <w:t>小时内完成应急维修。</w:t>
            </w:r>
          </w:p>
          <w:p>
            <w:pPr>
              <w:pStyle w:val="null3"/>
              <w:ind w:firstLine="482"/>
              <w:jc w:val="both"/>
            </w:pPr>
            <w:r>
              <w:rPr>
                <w:rFonts w:ascii="仿宋_GB2312" w:hAnsi="仿宋_GB2312" w:cs="仿宋_GB2312" w:eastAsia="仿宋_GB2312"/>
                <w:sz w:val="24"/>
                <w:b/>
              </w:rPr>
              <w:t>4.施工地点：</w:t>
            </w:r>
            <w:r>
              <w:rPr>
                <w:rFonts w:ascii="仿宋_GB2312" w:hAnsi="仿宋_GB2312" w:cs="仿宋_GB2312" w:eastAsia="仿宋_GB2312"/>
                <w:sz w:val="24"/>
              </w:rPr>
              <w:t>西安建筑科技大学雁塔校区南院。</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质量标准符合本项目采购清单要求、建筑装饰装修工程质量验收规范和国家、陕西省、西安市现行工程质量验评标准。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1、本工程为交钥匙工程，为清单报价，报价中包含暂列金，最终工程量按照实际发生量计取。 2、报价汇总表中的价格必须是完成本项目的所有费用的报价；工程量清单中的全费用综合单价包括但不限于所需的人工费、材料费、运杂费（含装卸、搬运、损耗、二次运输及多次倒运费用）、施工机械使用费、保管费、检测与试验费、安装及调试费、各种措施费（含安全文明措施费）、劳保统筹基金、各类保险、管理费、利润、规费、各项税费、施工车辆校内通行费、垃圾清运费、用水用电费、验收、质保及保修服务、风险、责任和义务等所有费用。 3、供应商填报工程量清单报价时，对采购人提供的工程量清单数据及内容、表格格式均不得改动，如有改动，工程结算时采购人有权按有利于采购人的方式进行结算。 4、磋商报价应是包含劳保统筹基金的含税工程造价。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1、成交供应商领取成交通知书时，提交纸质响应文件正本壹份、副本贰份、电子版壹份（U盘壹份注明单位名称）编辑目录和页码，内容和通过电子化交易平台实施的政府采购项目提交的响应文件一致。 2、纸质响应文件正副本分别胶装。3、请确认踏勘的供应商在踏勘时间前将公司名称、踏勘联系人、联系电话编辑文字发送至邮箱1106712518@qq.com。）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具有独立承担民事责任能力的法人、其他组织或自然人，并出具合法有效的营业执照或事业单位法人证书等国家规定的相关证明，自然人参与的提供其身份证明。②提供2024年6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③提供2024年6月至今已缴存的至少一个月的社会保障资金缴存单据或社保机构开具的社会保险参保缴费情况证明，依法不需要缴纳社会保障资金的单位应提供相关证明材料。④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⑤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拟派项目经理具备合法有效的建筑工程专业二级及以上注册建造师资格和安全生产考核合格证，且无其他在建工程（提供无在建工程的承诺函）。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合法有效的建筑工程施工总承包三级及以上资质或建筑装修装饰工程专业承包二级及以上资质，同时具备钢结构工程专业承包三级及以上资质和特种工程专业承包（结构补强）资质；且具备合法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陕西省外的供应商及其拟派项目经理相关信息须在“陕西省住房和城乡建设厅”官方网站可查询。</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磋商小组应当对供应商提交的响应文件进行初步审查，包括响应文件的有效性、完整性、符合性。除可变动的技术、服务要求以及合同草案条款外，首次提交的响应文件有不符合下列情况的，其响应文件无效。(1) 供应商名称与营业执照、资质证书一致；(2) 响应文件按磋商文件要求的数量、计量单位、报价货币及签字盖章；(3) 响应文件的有效期达到磋商文件要求；(4) 响应文件中主要材料技术指标无负偏离的； (5) 符合法律、法规和磋商文件中规定的其他实质性要求；(6) 已标价工程量清单的扉页（仅指投标总价扉页）由注册或登记在本单位的造价人员签字并盖执业印章；(7) 保证金交纳符合磋商文件要求。</w:t>
            </w:r>
          </w:p>
        </w:tc>
        <w:tc>
          <w:tcPr>
            <w:tcW w:type="dxa" w:w="1661"/>
          </w:tcPr>
          <w:p>
            <w:pPr>
              <w:pStyle w:val="null3"/>
            </w:pPr>
            <w:r>
              <w:rPr>
                <w:rFonts w:ascii="仿宋_GB2312" w:hAnsi="仿宋_GB2312" w:cs="仿宋_GB2312" w:eastAsia="仿宋_GB2312"/>
              </w:rPr>
              <w:t>已标价工程量清单 中小企业声明函 保证金缴纳凭证 主材技术要求响应偏差表 强制优先采购产品承诺函 响应文件封面 商务条款响应说明 响应方案说明 项目管理机构组成表 响应报价表 残疾人福利性单位声明函 报价函 标的清单 供应商类似项目业绩一览表 主要材料品牌、价格表 供应商承诺书 响应函 主要人员简历表 监狱企业的证明文件 供应商资格证明文件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详细评审45.00分</w:t>
            </w:r>
          </w:p>
          <w:p>
            <w:pPr>
              <w:pStyle w:val="null3"/>
            </w:pPr>
            <w:r>
              <w:rPr>
                <w:rFonts w:ascii="仿宋_GB2312" w:hAnsi="仿宋_GB2312" w:cs="仿宋_GB2312" w:eastAsia="仿宋_GB2312"/>
              </w:rPr>
              <w:t>报价得分55.00分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对项目整体理解及施工方案</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1、对项目实施的现场情况、难易程度、历史资料匹配、成品保护等重点、难点进行分析；根据对项目整体理解内容全面，可实施性强得0.6-1分；内容有缺项漏项，基本可行得0.1-0.5分；未提供不计分。 2、对易发生质量通病、易出现安全问题、施工难度大、技术含量高的分项工程等进行说明并给出施工保障措施和专项技术方案（含主要施工工法、组织措施、检验手段等）。内容完备、科学、合理、针对性强得1.1-2分；内容简单粗略、基本可行得0.1-1分；未提供的不计分。 3、影响本项目的外在因素和可能出现的问题进行分析，并制定相关应急预案或保证措施。内容完备、科学、合理、针对性强得1.1-2分；内容简单粗略、基本可行得0.1-1分；未提供的不计分。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1、针对本项目工期、质量高的特点，制定切实可行的施工进度计划（网络图/横道图）和工期保证措施，施工顺序具体说明及施工流水段划分；工期控制要点及分级控制措施；进度监管手段、人材机组织保证。内容完备、科学、合理、针对性强得2.1-4分；内容一般、基本可行得0.1-2分；未提供的不计分。 2、针对本项目工期紧、质量高的特点，制定切实可行的现场调度协调方案；赶工方案及奖惩措施；劳动力配置计划和生产效率及生活保障措施；检测及机具设备计划、材料准备计划及相关保证措施。内容完备、科学、合理、针对性强得2.1-4分；内容一般、基本可行得0.1-2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质量管理体系与保证措施</w:t>
            </w:r>
          </w:p>
        </w:tc>
        <w:tc>
          <w:tcPr>
            <w:tcW w:type="dxa" w:w="2492"/>
          </w:tcPr>
          <w:p>
            <w:pPr>
              <w:pStyle w:val="null3"/>
            </w:pPr>
            <w:r>
              <w:rPr>
                <w:rFonts w:ascii="仿宋_GB2312" w:hAnsi="仿宋_GB2312" w:cs="仿宋_GB2312" w:eastAsia="仿宋_GB2312"/>
              </w:rPr>
              <w:t>1、针对本项目特点制定切实可行质量管理预控措施（各项质量目标及控制措施、质量检验和实验计划、事前控制、材料质量控制、施工机具控制等）。内容科学、合理、针对性强得2.1-4分；内容较完备、合理、可行得0.1-2分；未提供的不计分。 2、分部分项工程质量保证措施、成品保护和工程保修管理措施。内容科学、合理、针对性强得1.6-3分；内容较完备、合理、可行得0.1-1.5分；未提供的不计分。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1、结合工程环境、特点分析安全隐患，给出有针对性的安全生产、文明施工、环保施工、防尘降噪等保证措施。内容完备、科学、合理、针对性强得1.1-2分；内容一般、基本可行得0.1-1分；缺项或未提供不得分。 2、安全文明、环保施工保证体系和控制点设置合理，满足国家、省市相关法规规定及采购文件要求。内容完备、科学、合理、针对性强得0.6-1分；内容简单粗略、基本可行、针对性较弱得0.1-0.5分；缺项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供应商针对本项目提供的项目人员组成，技术负责人（职称、学历、工作年限），其他项目人员构成情况（岗位设置、专业种类及能力、有技术职称的人员比例）等进行赋分。 项目人员配置齐全、合理、职责划分清晰、针对性强得1.6-3分；内容一般、基本可行得0.1-1.5分；不提供不计分。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拟派项目经理的职称及业绩</w:t>
            </w:r>
          </w:p>
        </w:tc>
        <w:tc>
          <w:tcPr>
            <w:tcW w:type="dxa" w:w="2492"/>
          </w:tcPr>
          <w:p>
            <w:pPr>
              <w:pStyle w:val="null3"/>
            </w:pPr>
            <w:r>
              <w:rPr>
                <w:rFonts w:ascii="仿宋_GB2312" w:hAnsi="仿宋_GB2312" w:cs="仿宋_GB2312" w:eastAsia="仿宋_GB2312"/>
              </w:rPr>
              <w:t>1、拟派项目经理具备中级及以上职称证书，得1分。 评审依据：评审时以供应商提供的加盖供应商公章的拟派项目经理最高职称证书的扫描件或复印件为准，提供多个职称证明材料的，以最高职称材料为准，未提供的不得分。 2、供应商提供拟派项目经理自2021年7月1日至今的类似业绩（需包含加固内容）证明材料，每提供1项得1分，最多得2分。 备注：业绩时间以合同签订时间所体现的时间为准，合同中需要体现项目经理姓名，拟派项目经理业绩与企业业绩不可重复得分。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主要材料品牌、价格表</w:t>
            </w:r>
          </w:p>
        </w:tc>
        <w:tc>
          <w:tcPr>
            <w:tcW w:type="dxa" w:w="2492"/>
          </w:tcPr>
          <w:p>
            <w:pPr>
              <w:pStyle w:val="null3"/>
            </w:pPr>
            <w:r>
              <w:rPr>
                <w:rFonts w:ascii="仿宋_GB2312" w:hAnsi="仿宋_GB2312" w:cs="仿宋_GB2312" w:eastAsia="仿宋_GB2312"/>
              </w:rPr>
              <w:t>1、主要材料品牌、价格表填写完整，无缺漏项计4分。 2、根据供应商针对本项目拟投入主要材料品牌、价格表的产品选型情况、品质进行评审：主要材料品牌、价格表的市场应用比例高与本次项目契合度高、为主流产品且符合相关要求，相关证明材料完整、清晰的得2.1-3分； 主要材料品牌、价格表的市场应用比例较高与本次项目契合度一般、为一般产品，相关证明材料基本完整的得1.1-2分； 主要材料品牌、价格表的市场占有率一般，相关证明材料不完整，缺失严重的得0.1-1分； 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主要材料品牌、价格表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节能环保、绿色建材</w:t>
            </w:r>
          </w:p>
        </w:tc>
        <w:tc>
          <w:tcPr>
            <w:tcW w:type="dxa" w:w="2492"/>
          </w:tcPr>
          <w:p>
            <w:pPr>
              <w:pStyle w:val="null3"/>
            </w:pPr>
            <w:r>
              <w:rPr>
                <w:rFonts w:ascii="仿宋_GB2312" w:hAnsi="仿宋_GB2312" w:cs="仿宋_GB2312" w:eastAsia="仿宋_GB2312"/>
              </w:rPr>
              <w:t>乳胶漆为无味、抗甲醛、绿色环保产品；对所选用的装饰装修材料采用绿色环保、节能材料的； 以上内容每提供一项得1分，最高得3分，不提供不计分。 （以上内容需提供检测报告及相关证明材料等并加盖公章）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提供供应商2022年7月1日至今(以合同签订日期为准)类似业绩（需包含加固内容）证明材料，每份业绩计1分，满分3分。 备注：业绩时间以合同签订时间所体现的时间为准。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质保服务方案及承诺、与学校相关部门的配合协调承诺、及优化建议等进行赋分，方案完善、科学合理，针对性强、服务承诺明确，计2.1-3分，方案一般、基本可行、特点和承诺不明确，计0.1-2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满足磋商文件要求且最后磋商价格最低的磋商报价为评标基准价，其价格分为满分。其他供应商的价格分统一按照下列公式计算：磋商报价得分=（评标基准价/磋商报价）×55。</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详见附件：主要材料品牌、价格表</w:t>
      </w:r>
    </w:p>
    <w:p>
      <w:pPr>
        <w:pStyle w:val="null3"/>
        <w:ind w:firstLine="960"/>
      </w:pPr>
      <w:r>
        <w:rPr>
          <w:rFonts w:ascii="仿宋_GB2312" w:hAnsi="仿宋_GB2312" w:cs="仿宋_GB2312" w:eastAsia="仿宋_GB2312"/>
        </w:rPr>
        <w:t>详见附件：主材技术要求响应偏差表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