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版本号：SZ2259-GP-SC-110S20250620001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保密室等区域加固改造项目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SZ2259-GP-SC-110S</w:t>
      </w:r>
      <w:r>
        <w:br/>
      </w:r>
      <w:r>
        <w:br/>
      </w:r>
      <w:r>
        <w:br/>
      </w:r>
    </w:p>
    <w:p>
      <w:pPr>
        <w:pStyle w:val="null3"/>
        <w:jc w:val="center"/>
        <w:outlineLvl w:val="2"/>
      </w:pPr>
      <w:r>
        <w:rPr>
          <w:rFonts w:ascii="仿宋_GB2312" w:hAnsi="仿宋_GB2312" w:cs="仿宋_GB2312" w:eastAsia="仿宋_GB2312"/>
          <w:sz w:val="28"/>
          <w:b/>
        </w:rPr>
        <w:t>省人事考试中心</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省人事考试中心</w:t>
      </w:r>
      <w:r>
        <w:rPr>
          <w:rFonts w:ascii="仿宋_GB2312" w:hAnsi="仿宋_GB2312" w:cs="仿宋_GB2312" w:eastAsia="仿宋_GB2312"/>
        </w:rPr>
        <w:t>委托，拟对</w:t>
      </w:r>
      <w:r>
        <w:rPr>
          <w:rFonts w:ascii="仿宋_GB2312" w:hAnsi="仿宋_GB2312" w:cs="仿宋_GB2312" w:eastAsia="仿宋_GB2312"/>
        </w:rPr>
        <w:t>保密室等区域加固改造项目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SZ2259-GP-SC-110S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保密室等区域加固改造项目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陕西省人事考试中心保密室等区域加固改造项目，设计、施工内容详见磋商文件。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采购包1（陕西省人事考试中心保密室等区域加固改造项目）：属于专门面向中小企业采购。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1.供应商在递交响应文件截止时间前被“信用中国”网站（www.creditchina.gov.cn）和中国政府采购网（www.ccgp.gov.cn）上被列入失信被执行人、重大税收违法失信主体、政府采购严重违法失信行为记录名单的，不得参加投标； 2、供应商需同时具备以下资质: ①设计资质：工程设计综合资质甲级，或建筑行业工程设计乙级及以上资质，或建筑行业（建筑工程）乙级及以上资质； ②施工资质：建筑工程施工总承包三级及以上资质，并具备有效安全生产许可证； 3、供应商拟派项目经理：须具备二级注册建筑师执业资格及以上或建筑工程专业二级注册建造师执业资格及以上，且在本单位注册，未担任其他在建项目的项目经理、施工负责人，并提供近一年内任意连续三个月的社保证明； 4、供应商拟派施工负责人：须具备建筑工程专业二级注册建造师执业资格及以上，具备有效的安全生产考核合格证书（建安B证），且在供应商单位注册，未担任其他在建工程项目的项目经理或施工负责人，并提供近一年内任意连续三个月的社保证明； 5、供应商拟派设计负责人：须具备国家二级注册建筑师执业资格及以上，且在供应商单位注册，并提供近一年内任意连续三个月的社保证明； 6、供应商拟派项目经理与施工负责人或设计负责人可为同一人，但须同时满足其资格要求； 7、供应商信息及拟派项目经理、施工负责人、设计负责人须在“陕西建设网（http://js.shaanxi.gov.cn/ ）可查询，提供截图（以联合体参与本项目的各成员均需提供）； 8、本项目接受联合体投标，组成联合体成员不得超过2（含）家，具体分工以联合体协议约定为准，资质等级按联合协议中的分工对应的单位资质等级进行确定。联合体投标时须明确联合体牵头单位（牵头单位须为负责施工部分内容的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联合体投标的由联合体牵头单位负责投标全过程，包括但不限于获取竞争性磋商文件、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省人事考试中心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西安碑林区建设东路3号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029-89530800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陕西省西安市和平路108号佳腾大厦7层招标二部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张轩、马悦、孙东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029-87521315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代理服务费收费标准：本项目采购代理服务费以成交价作为收费基数，按照国家计委 (计价格【2002】1980号)《招标代理服务收费管理暂行办法》规定的收费标准收取。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踏勘时间：2025-06-30 14:30:00</w:t>
            </w:r>
          </w:p>
          <w:p>
            <w:pPr>
              <w:pStyle w:val="null3"/>
              <w:ind w:firstLine="975"/>
            </w:pPr>
            <w:r>
              <w:rPr>
                <w:rFonts w:ascii="仿宋_GB2312" w:hAnsi="仿宋_GB2312" w:cs="仿宋_GB2312" w:eastAsia="仿宋_GB2312"/>
              </w:rPr>
              <w:t>踏勘地点：（1）请确认参与踏勘的供应商于2025年6月28日下午16:00前发送报备信息至邮箱sxzb_xx@163.com，报备信息包括：报备人员姓名、身份证号、联系方式。未及时报备的将导致无法进行踏勘，其后果均由供应商自行承担。 （2）踏勘时间：2025年6月30日14:30，具体集合时间及地点将以邮件形式告知。 注：供应商对磋商文件的任何误解或对项目现场环境及条件缺乏必要的了解或不前往项目现场踏勘，而导致成交后发生的任何风险，均由供应商承担全责，采购人不会因此承担任何法律及经济责任。</w:t>
            </w:r>
          </w:p>
          <w:p>
            <w:pPr>
              <w:pStyle w:val="null3"/>
              <w:ind w:firstLine="975"/>
            </w:pPr>
            <w:r>
              <w:rPr>
                <w:rFonts w:ascii="仿宋_GB2312" w:hAnsi="仿宋_GB2312" w:cs="仿宋_GB2312" w:eastAsia="仿宋_GB2312"/>
              </w:rPr>
              <w:t>联系人：张轩</w:t>
            </w:r>
          </w:p>
          <w:p>
            <w:pPr>
              <w:pStyle w:val="null3"/>
              <w:ind w:firstLine="975"/>
            </w:pPr>
            <w:r>
              <w:rPr>
                <w:rFonts w:ascii="仿宋_GB2312" w:hAnsi="仿宋_GB2312" w:cs="仿宋_GB2312" w:eastAsia="仿宋_GB2312"/>
              </w:rPr>
              <w:t>联系电话号码：029-87521315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省人事考试中心</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省人事考试中心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省人事考试中心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按磋商文件及合同执行。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地址：陕西省西安市和平路108号佳腾大厦7层</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陕西省人事考试中心保密室等区域加固改造项目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标的名称：陕西省人事考试中心保密室等区域加固改造项目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jc w:val="left"/>
            </w:pPr>
            <w:r>
              <w:rPr>
                <w:rFonts w:ascii="仿宋_GB2312" w:hAnsi="仿宋_GB2312" w:cs="仿宋_GB2312" w:eastAsia="仿宋_GB2312"/>
              </w:rPr>
              <w:t>1、工程地点：</w:t>
            </w:r>
            <w:r>
              <w:rPr>
                <w:rFonts w:ascii="仿宋_GB2312" w:hAnsi="仿宋_GB2312" w:cs="仿宋_GB2312" w:eastAsia="仿宋_GB2312"/>
              </w:rPr>
              <w:t>陕西省人事考试中心保密室等区域加固改造项目</w:t>
            </w:r>
            <w:r>
              <w:rPr>
                <w:rFonts w:ascii="仿宋_GB2312" w:hAnsi="仿宋_GB2312" w:cs="仿宋_GB2312" w:eastAsia="仿宋_GB2312"/>
              </w:rPr>
              <w:t>项目位于</w:t>
            </w:r>
            <w:r>
              <w:rPr>
                <w:rFonts w:ascii="仿宋_GB2312" w:hAnsi="仿宋_GB2312" w:cs="仿宋_GB2312" w:eastAsia="仿宋_GB2312"/>
              </w:rPr>
              <w:t>西安市碑林区建设东路</w:t>
            </w:r>
            <w:r>
              <w:rPr>
                <w:rFonts w:ascii="仿宋_GB2312" w:hAnsi="仿宋_GB2312" w:cs="仿宋_GB2312" w:eastAsia="仿宋_GB2312"/>
              </w:rPr>
              <w:t>3号</w:t>
            </w:r>
            <w:r>
              <w:rPr>
                <w:rFonts w:ascii="仿宋_GB2312" w:hAnsi="仿宋_GB2312" w:cs="仿宋_GB2312" w:eastAsia="仿宋_GB2312"/>
              </w:rPr>
              <w:t>院内</w:t>
            </w:r>
          </w:p>
          <w:p>
            <w:pPr>
              <w:pStyle w:val="null3"/>
              <w:jc w:val="left"/>
            </w:pPr>
            <w:r>
              <w:rPr>
                <w:rFonts w:ascii="仿宋_GB2312" w:hAnsi="仿宋_GB2312" w:cs="仿宋_GB2312" w:eastAsia="仿宋_GB2312"/>
              </w:rPr>
              <w:t>2、工程名称：</w:t>
            </w:r>
            <w:r>
              <w:rPr>
                <w:rFonts w:ascii="仿宋_GB2312" w:hAnsi="仿宋_GB2312" w:cs="仿宋_GB2312" w:eastAsia="仿宋_GB2312"/>
              </w:rPr>
              <w:t>陕西省人事考试中心保密室等区域加固改造项目</w:t>
            </w:r>
          </w:p>
          <w:p>
            <w:pPr>
              <w:pStyle w:val="null3"/>
              <w:jc w:val="both"/>
            </w:pPr>
            <w:r>
              <w:rPr>
                <w:rFonts w:ascii="仿宋_GB2312" w:hAnsi="仿宋_GB2312" w:cs="仿宋_GB2312" w:eastAsia="仿宋_GB2312"/>
                <w:sz w:val="21"/>
              </w:rPr>
              <w:t>3、工程内容有：</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工程设计：</w:t>
            </w:r>
            <w:r>
              <w:rPr>
                <w:rFonts w:ascii="仿宋_GB2312" w:hAnsi="仿宋_GB2312" w:cs="仿宋_GB2312" w:eastAsia="仿宋_GB2312"/>
                <w:sz w:val="21"/>
              </w:rPr>
              <w:t>完成本项目施工图设计、优化改造设计及施工配合工作</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施工总承包：</w:t>
            </w:r>
            <w:r>
              <w:rPr>
                <w:rFonts w:ascii="仿宋_GB2312" w:hAnsi="仿宋_GB2312" w:cs="仿宋_GB2312" w:eastAsia="仿宋_GB2312"/>
                <w:sz w:val="21"/>
              </w:rPr>
              <w:t>包括施工图设计范围内全部工程</w:t>
            </w:r>
            <w:r>
              <w:rPr>
                <w:rFonts w:ascii="仿宋_GB2312" w:hAnsi="仿宋_GB2312" w:cs="仿宋_GB2312" w:eastAsia="仿宋_GB2312"/>
                <w:sz w:val="21"/>
              </w:rPr>
              <w:t>及合同相关约定</w:t>
            </w:r>
            <w:r>
              <w:rPr>
                <w:rFonts w:ascii="仿宋_GB2312" w:hAnsi="仿宋_GB2312" w:cs="仿宋_GB2312" w:eastAsia="仿宋_GB2312"/>
                <w:sz w:val="21"/>
              </w:rPr>
              <w:t>的施工、</w:t>
            </w:r>
            <w:r>
              <w:rPr>
                <w:rFonts w:ascii="仿宋_GB2312" w:hAnsi="仿宋_GB2312" w:cs="仿宋_GB2312" w:eastAsia="仿宋_GB2312"/>
                <w:sz w:val="21"/>
              </w:rPr>
              <w:t>采购、竣工验收、交付、缺陷责任期与保修期内的缺陷修复和保修等全部建设任务及后续服务配合工作</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最终工作内容以</w:t>
            </w:r>
            <w:r>
              <w:rPr>
                <w:rFonts w:ascii="仿宋_GB2312" w:hAnsi="仿宋_GB2312" w:cs="仿宋_GB2312" w:eastAsia="仿宋_GB2312"/>
                <w:sz w:val="21"/>
              </w:rPr>
              <w:t>磋商文件</w:t>
            </w:r>
            <w:r>
              <w:rPr>
                <w:rFonts w:ascii="仿宋_GB2312" w:hAnsi="仿宋_GB2312" w:cs="仿宋_GB2312" w:eastAsia="仿宋_GB2312"/>
                <w:sz w:val="21"/>
              </w:rPr>
              <w:t>和合同为准。具体内容详见</w:t>
            </w:r>
            <w:r>
              <w:rPr>
                <w:rFonts w:ascii="仿宋_GB2312" w:hAnsi="仿宋_GB2312" w:cs="仿宋_GB2312" w:eastAsia="仿宋_GB2312"/>
                <w:sz w:val="21"/>
              </w:rPr>
              <w:t>设计标准</w:t>
            </w:r>
            <w:r>
              <w:rPr>
                <w:rFonts w:ascii="仿宋_GB2312" w:hAnsi="仿宋_GB2312" w:cs="仿宋_GB2312" w:eastAsia="仿宋_GB2312"/>
                <w:sz w:val="21"/>
              </w:rPr>
              <w:t>。</w:t>
            </w:r>
          </w:p>
          <w:tbl>
            <w:tblPr>
              <w:tblInd w:type="dxa" w:w="13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主要技术参数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品牌档次</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保密柜</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符合保密局要求的保密柜</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按要求应在保密局购买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空调</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功率</w:t>
                  </w:r>
                  <w:r>
                    <w:rPr>
                      <w:rFonts w:ascii="仿宋_GB2312" w:hAnsi="仿宋_GB2312" w:cs="仿宋_GB2312" w:eastAsia="仿宋_GB2312"/>
                      <w:sz w:val="20"/>
                    </w:rPr>
                    <w:t>3匹、柜机空调</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格力、美的、海尔等国产同等档次品牌</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防盗门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尺寸详见设计参数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应符合</w:t>
                  </w:r>
                  <w:r>
                    <w:rPr>
                      <w:rFonts w:ascii="仿宋_GB2312" w:hAnsi="仿宋_GB2312" w:cs="仿宋_GB2312" w:eastAsia="仿宋_GB2312"/>
                      <w:sz w:val="20"/>
                    </w:rPr>
                    <w:t>GB17565要求的甲级或乙级防盗安全门，并安装自动关门器；</w:t>
                  </w:r>
                </w:p>
                <w:p>
                  <w:pPr>
                    <w:pStyle w:val="null3"/>
                    <w:numPr>
                      <w:ilvl w:val="0"/>
                      <w:numId w:val="1"/>
                    </w:numPr>
                    <w:jc w:val="both"/>
                  </w:pPr>
                  <w:r>
                    <w:rPr>
                      <w:rFonts w:ascii="仿宋_GB2312" w:hAnsi="仿宋_GB2312" w:cs="仿宋_GB2312" w:eastAsia="仿宋_GB2312"/>
                      <w:sz w:val="20"/>
                    </w:rPr>
                    <w:t>应安装使用采用智能卡或生物特征方式进行身份鉴别、能自动记录出入日志的电子门控系统。</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40寸以上</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海信、</w:t>
                  </w:r>
                  <w:r>
                    <w:rPr>
                      <w:rFonts w:ascii="仿宋_GB2312" w:hAnsi="仿宋_GB2312" w:cs="仿宋_GB2312" w:eastAsia="仿宋_GB2312"/>
                      <w:sz w:val="20"/>
                    </w:rPr>
                    <w:t>TCL、长虹等国产同等档次品牌</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摄像头</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高清全景摄像头，吸顶安装</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海康威视、萤石、乔安或国产同等档次品牌</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沙发</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3人位，尺寸大小根据值班室设计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国产中上档次品牌</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办公桌椅</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尺寸大小根据值班室设计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国产中上档次品牌</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架子床</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上下铺，尺寸大小根据值班室设计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国产中上档次品牌</w:t>
                  </w:r>
                </w:p>
              </w:tc>
            </w:tr>
          </w:tbl>
          <w:p>
            <w:pPr>
              <w:pStyle w:val="null3"/>
            </w:pPr>
            <w:r>
              <w:rPr>
                <w:rFonts w:ascii="仿宋_GB2312" w:hAnsi="仿宋_GB2312" w:cs="仿宋_GB2312" w:eastAsia="仿宋_GB2312"/>
              </w:rPr>
              <w:t xml:space="preserve"> </w:t>
            </w:r>
            <w:r>
              <w:rPr>
                <w:rFonts w:ascii="仿宋_GB2312" w:hAnsi="仿宋_GB2312" w:cs="仿宋_GB2312" w:eastAsia="仿宋_GB2312"/>
                <w:sz w:val="21"/>
              </w:rPr>
              <w:t>备注：未在目录里列但确需采购的设备，由发包人和承包人协商确定。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设计质量标准：符合国家有关现行设计规范、标准的要求。 施工质量标准：达到国家现行施工验收规范“合格”标准。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需要落实的政府采购政策：1)《政府采购促进中小企业发展管理办法》（财库〔2020〕46号）、《财政部关于进一步加大政府采购支持中小企业力度》的通知（财库〔2022〕19号）、《陕西省财政厅关于进一步加大政府采购支持中小企业力度的通知》（陕财办采〔2022〕5号）；2)《财政部司法部关于政府采购支持监狱企业发展有关问题的通知》（财库〔2014〕68号）；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关于政府采购支持绿色建材促进建筑品质提升试点工作的通知》（财库〔2020〕31 号）；14）《财政部办公厅关于组织地方预算单位做好2023年政府采购脱贫地区农副产品工作的通知》（财办库〔2023〕45 号）；15）《财政部住房城乡建设部工业和信息化部关于扩大政府采购绿色建材促进建筑品质提升政策实施范围的通知》（财库〔2022〕35号）；16）其他需要落实的政府采购政策。 3、成交供应商在中标（成交）结果公告结束后3个工作日内向代理机构提供纸质版响应文件，响应文件为正本一份，副本一份，电子U盘一份（U盘内容包括Word版本、签字盖章扫描后的PDF版本响应文件及电子投标书）。 4、本项目工期：60日历天。 5、本项目专门面向中小企业采购（残疾人福利性单位、监狱企业视同小型、微型企业）。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1、提供有效的法人/企业负责人或者其他组织的营业执照等证明文件，自然人的身份证明； 2、提供可满足履行合同所需设备和专业技术能力的证明材料或承诺； 3、提供2025年1月1日至今已缴存的至少一个月的纳税证明或完税证明，依法免税的单位应提供相关证明材料；时间以税款所属时期为准； 4、提供2025年1月1日至今已缴存的至少一个月的社会保障资金缴存单据或社保机构开具的社会保险参保缴费情况证明，依法不需要缴纳社会保障资金的单位应提供相关证明材料；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 注：供应商需在项目电子化交易系统中按要求上传相应证明文件并进行电子签章。供应商需在项目电子化交易系统中按要求填写《响应函》。</w:t>
            </w:r>
          </w:p>
        </w:tc>
        <w:tc>
          <w:tcPr>
            <w:tcW w:type="dxa" w:w="1661"/>
          </w:tcPr>
          <w:p>
            <w:pPr>
              <w:pStyle w:val="null3"/>
            </w:pPr>
            <w:r>
              <w:rPr>
                <w:rFonts w:ascii="仿宋_GB2312" w:hAnsi="仿宋_GB2312" w:cs="仿宋_GB2312" w:eastAsia="仿宋_GB2312"/>
              </w:rPr>
              <w:t>一般资格证明材料 法定代表人身份证明书、法定代表人授权委托书 拒绝商业贿赂承诺书（供应商） 响应函 联合体协议书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2025年度财务审计报告（至少包括资产负债表、利润表），成立时间至提交投标文件截止时间不足一年的可提供成立后任意时段的资产负债表，或磋商时间前六个月内银行出具的资信证明，或政府采购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一般资格证明材料 法定代表人身份证明书、法定代表人授权委托书 响应函 联合体协议书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一般资格证明材料 法定代表人身份证明书、法定代表人授权委托书 响应函 联合体协议书</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记录名单的，不得参加投标； 2、供应商需同时具备以下资质: ①设计资质：工程设计综合资质甲级，或建筑行业工程设计乙级及以上资质，或建筑行业（建筑工程）乙级及以上资质； ②施工资质：建筑工程施工总承包三级及以上资质，并具备有效安全生产许可证； 3、供应商拟派项目经理：须具备二级注册建筑师执业资格及以上或建筑工程专业二级注册建造师执业资格及以上，且在本单位注册，未担任其他在建项目的项目经理、施工负责人，并提供近一年内任意连续三个月的社保证明； 4、供应商拟派施工负责人：须具备建筑工程专业二级注册建造师执业资格及以上，具备有效的安全生产考核合格证书（建安B证），且在供应商单位注册，未担任其他在建工程项目的项目经理或施工负责人，并提供近一年内任意连续三个月的社保证明； 5、供应商拟派设计负责人：须具备国家二级注册建筑师执业资格及以上，且在供应商单位注册，并提供近一年内任意连续三个月的社保证明； 6、供应商拟派项目经理与施工负责人或设计负责人可为同一人，但须同时满足其资格要求； 7、供应商信息及拟派项目经理、施工负责人、设计负责人须在“陕西建设网（http://js.shaanxi.gov.cn/ ）可查询，提供截图（以联合体参与本项目的各成员均需提供）； 8、本项目接受联合体投标，组成联合体成员不得超过2（含）家，具体分工以联合体协议约定为准，资质等级按联合协议中的分工对应的单位资质等级进行确定。联合体投标时须明确联合体牵头单位（牵头单位须为负责施工部分内容的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联合体投标的由联合体牵头单位负责投标全过程，包括但不限于获取竞争性磋商文件、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w:t>
            </w:r>
          </w:p>
        </w:tc>
        <w:tc>
          <w:tcPr>
            <w:tcW w:type="dxa" w:w="1661"/>
          </w:tcPr>
          <w:p>
            <w:pPr>
              <w:pStyle w:val="null3"/>
            </w:pPr>
            <w:r>
              <w:rPr>
                <w:rFonts w:ascii="仿宋_GB2312" w:hAnsi="仿宋_GB2312" w:cs="仿宋_GB2312" w:eastAsia="仿宋_GB2312"/>
              </w:rPr>
              <w:t>特定资格证明材料 项目管理机构组成表 法定代表人身份证明书、法定代表人授权委托书 主要人员简历表 联合体协议书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报价函 标的清单 技术服务合同条款及其他商务要求应答表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项目设计服务保障措施</w:t>
            </w:r>
          </w:p>
        </w:tc>
        <w:tc>
          <w:tcPr>
            <w:tcW w:type="dxa" w:w="2492"/>
          </w:tcPr>
          <w:p>
            <w:pPr>
              <w:pStyle w:val="null3"/>
            </w:pPr>
            <w:r>
              <w:rPr>
                <w:rFonts w:ascii="仿宋_GB2312" w:hAnsi="仿宋_GB2312" w:cs="仿宋_GB2312" w:eastAsia="仿宋_GB2312"/>
              </w:rPr>
              <w:t>1、设计思路清晰、设计成本控制措施合理，设计周期保障措施可行性强得10分； 2、设计思路较清晰、设计成本控制措施及设计周期保障措施较为合理得，可行性较强得7分； 3、设计思路、设计成本控制措施及设计周期保障措施基本合理、可行性一般得4分； 4、设计思路、成本控制措施为贴合实际、可行性差得2分 未供不提供，不得分。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w:t>
            </w:r>
          </w:p>
        </w:tc>
      </w:tr>
      <w:tr>
        <w:tc>
          <w:tcPr>
            <w:tcW w:type="dxa" w:w="831"/>
            <w:vMerge/>
          </w:tcPr>
          <w:p/>
        </w:tc>
        <w:tc>
          <w:tcPr>
            <w:tcW w:type="dxa" w:w="1661"/>
          </w:tcPr>
          <w:p>
            <w:pPr>
              <w:pStyle w:val="null3"/>
            </w:pPr>
            <w:r>
              <w:rPr>
                <w:rFonts w:ascii="仿宋_GB2312" w:hAnsi="仿宋_GB2312" w:cs="仿宋_GB2312" w:eastAsia="仿宋_GB2312"/>
              </w:rPr>
              <w:t>项目施工技术方案</w:t>
            </w:r>
          </w:p>
        </w:tc>
        <w:tc>
          <w:tcPr>
            <w:tcW w:type="dxa" w:w="2492"/>
          </w:tcPr>
          <w:p>
            <w:pPr>
              <w:pStyle w:val="null3"/>
            </w:pPr>
            <w:r>
              <w:rPr>
                <w:rFonts w:ascii="仿宋_GB2312" w:hAnsi="仿宋_GB2312" w:cs="仿宋_GB2312" w:eastAsia="仿宋_GB2312"/>
              </w:rPr>
              <w:t>1.具有针对本项目的施工方案，施工顺序安排合理、可行，对本项目特点、难点有充分的认识及对策的得15分； 2.施工方案、施工顺序安排较为合理、可行，对本项目特点、难点的认识及对策较为合理的得10分； 3.施工方案、施工顺序安排基本合理、可行，对本项目特点、难点的认识及对策内容简单基本合理的得5分； 4.施工方案提供内容不全或内容简单有欠缺,未贴合实际的得2分。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1.质量保证措施合理、可行性强得10分； 2.质量保证措施较合理、可行性较强得7分； 3.质量保证措施基本合理、可行性一般得4分； 4.质量保证措施不甚合理、可行性差得2分。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1.安全生产保证措施合理、可行性强得10分； 2.安全生产保证措施较合理、可行性较强得7分； 3.安全生产保证措施基本合理、可行性一般得4分； 4.安全生产保证措施不甚合理、可行性差得2分。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1.文明施工计划全面，组织措施科学合理，环境卫生管理制度完善，责任清晰、措施到位得5分； 2.文明施工计划较全面，组织措施基本科学合理，环境卫生管理制度较完善，责任有划分、措施基本合理得3分； 3.确保文明施工的技术组织措施及施工环境保护措施提供内容不全或内容简单有欠缺，未贴合实际的得1分。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w:t>
            </w:r>
          </w:p>
        </w:tc>
      </w:tr>
      <w:tr>
        <w:tc>
          <w:tcPr>
            <w:tcW w:type="dxa" w:w="831"/>
            <w:vMerge/>
          </w:tcPr>
          <w:p/>
        </w:tc>
        <w:tc>
          <w:tcPr>
            <w:tcW w:type="dxa" w:w="1661"/>
          </w:tcPr>
          <w:p>
            <w:pPr>
              <w:pStyle w:val="null3"/>
            </w:pPr>
            <w:r>
              <w:rPr>
                <w:rFonts w:ascii="仿宋_GB2312" w:hAnsi="仿宋_GB2312" w:cs="仿宋_GB2312" w:eastAsia="仿宋_GB2312"/>
              </w:rPr>
              <w:t>项目团队管理及主要人员配置情况</w:t>
            </w:r>
          </w:p>
        </w:tc>
        <w:tc>
          <w:tcPr>
            <w:tcW w:type="dxa" w:w="2492"/>
          </w:tcPr>
          <w:p>
            <w:pPr>
              <w:pStyle w:val="null3"/>
            </w:pPr>
            <w:r>
              <w:rPr>
                <w:rFonts w:ascii="仿宋_GB2312" w:hAnsi="仿宋_GB2312" w:cs="仿宋_GB2312" w:eastAsia="仿宋_GB2312"/>
              </w:rPr>
              <w:t>1.项目经理部人员组成合理，分工明确，完全满足施工需要得10分； 2.项目经理部人员组成较合理，分工较明确，能满足施工需要得7分； 3.项目经理部人员组成基本合理，分工基本明确，基本能满足施工需要得4分； 4.项目经理部人员组成不甚合理，分工不明确，不能满足施工需要得2分。 未提供不得分。 注：项目经理部人员需提供相应的资质证书及近一年内连续三个月的社保缴纳凭证，未提供或提供不全按无效人员处理。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技术方案文件</w:t>
            </w:r>
          </w:p>
        </w:tc>
      </w:tr>
      <w:tr>
        <w:tc>
          <w:tcPr>
            <w:tcW w:type="dxa" w:w="831"/>
            <w:vMerge/>
          </w:tcPr>
          <w:p/>
        </w:tc>
        <w:tc>
          <w:tcPr>
            <w:tcW w:type="dxa" w:w="1661"/>
          </w:tcPr>
          <w:p>
            <w:pPr>
              <w:pStyle w:val="null3"/>
            </w:pPr>
            <w:r>
              <w:rPr>
                <w:rFonts w:ascii="仿宋_GB2312" w:hAnsi="仿宋_GB2312" w:cs="仿宋_GB2312" w:eastAsia="仿宋_GB2312"/>
              </w:rPr>
              <w:t>建设性意见及服务承诺</w:t>
            </w:r>
          </w:p>
        </w:tc>
        <w:tc>
          <w:tcPr>
            <w:tcW w:type="dxa" w:w="2492"/>
          </w:tcPr>
          <w:p>
            <w:pPr>
              <w:pStyle w:val="null3"/>
            </w:pPr>
            <w:r>
              <w:rPr>
                <w:rFonts w:ascii="仿宋_GB2312" w:hAnsi="仿宋_GB2312" w:cs="仿宋_GB2312" w:eastAsia="仿宋_GB2312"/>
              </w:rPr>
              <w:t>1.建设性意见及服务措施承诺详尽、合理，针对性强得4分； 2.建设性意见及服务措施承诺较详尽、合理，具有一定针对性得2分； 3.建设性意见及服务措施承诺简单，针对性差得1分。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供应商提供2021年1月至今（以合同签订日期为准）改扩建项目施工业绩，每提供一个有效业绩计2分，满分6分。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评审基准价：满足磋商文件要求且磋商报价最低的报价为磋商基准价。 得分：报价得分=(评审基准价／最后报价)×30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详见附件：法定代表人身份证明书、法定代表人授权委托书</w:t>
      </w:r>
    </w:p>
    <w:p>
      <w:pPr>
        <w:pStyle w:val="null3"/>
        <w:ind w:firstLine="960"/>
      </w:pPr>
      <w:r>
        <w:rPr>
          <w:rFonts w:ascii="仿宋_GB2312" w:hAnsi="仿宋_GB2312" w:cs="仿宋_GB2312" w:eastAsia="仿宋_GB2312"/>
        </w:rPr>
        <w:t>详见附件：联合体协议书</w:t>
      </w:r>
    </w:p>
    <w:p>
      <w:pPr>
        <w:pStyle w:val="null3"/>
        <w:ind w:firstLine="960"/>
      </w:pPr>
      <w:r>
        <w:rPr>
          <w:rFonts w:ascii="仿宋_GB2312" w:hAnsi="仿宋_GB2312" w:cs="仿宋_GB2312" w:eastAsia="仿宋_GB2312"/>
        </w:rPr>
        <w:t>详见附件：技术方案文件</w:t>
      </w:r>
    </w:p>
    <w:p>
      <w:pPr>
        <w:pStyle w:val="null3"/>
        <w:ind w:firstLine="960"/>
      </w:pPr>
      <w:r>
        <w:rPr>
          <w:rFonts w:ascii="仿宋_GB2312" w:hAnsi="仿宋_GB2312" w:cs="仿宋_GB2312" w:eastAsia="仿宋_GB2312"/>
        </w:rPr>
        <w:t>详见附件：特定资格证明材料</w:t>
      </w:r>
    </w:p>
    <w:p>
      <w:pPr>
        <w:pStyle w:val="null3"/>
        <w:ind w:firstLine="960"/>
      </w:pPr>
      <w:r>
        <w:rPr>
          <w:rFonts w:ascii="仿宋_GB2312" w:hAnsi="仿宋_GB2312" w:cs="仿宋_GB2312" w:eastAsia="仿宋_GB2312"/>
        </w:rPr>
        <w:t>详见附件：一般资格证明材料</w:t>
      </w:r>
    </w:p>
    <w:p>
      <w:pPr>
        <w:pStyle w:val="null3"/>
        <w:ind w:firstLine="960"/>
      </w:pPr>
      <w:r>
        <w:rPr>
          <w:rFonts w:ascii="仿宋_GB2312" w:hAnsi="仿宋_GB2312" w:cs="仿宋_GB2312" w:eastAsia="仿宋_GB2312"/>
        </w:rPr>
        <w:t>详见附件：拒绝商业贿赂承诺书（供应商）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详见附件：工程总承包合同（草拟）.docx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