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E0620">
      <w:pPr>
        <w:pStyle w:val="3"/>
        <w:jc w:val="left"/>
        <w:rPr>
          <w:rFonts w:hint="default" w:ascii="宋体" w:hAnsi="宋体" w:eastAsia="宋体" w:cs="宋体"/>
          <w:sz w:val="28"/>
          <w:szCs w:val="28"/>
          <w:highlight w:val="none"/>
          <w:lang w:val="en-US" w:eastAsia="zh-CN"/>
        </w:rPr>
      </w:pPr>
      <w:r>
        <w:rPr>
          <w:rFonts w:hint="eastAsia" w:hAnsi="宋体" w:eastAsia="宋体" w:cs="宋体"/>
          <w:sz w:val="32"/>
          <w:szCs w:val="32"/>
          <w:highlight w:val="none"/>
          <w:lang w:val="en-US" w:eastAsia="zh-CN"/>
        </w:rPr>
        <w:t>项目</w:t>
      </w:r>
      <w:r>
        <w:rPr>
          <w:rFonts w:hint="eastAsia" w:ascii="宋体" w:hAnsi="宋体" w:eastAsia="宋体" w:cs="宋体"/>
          <w:sz w:val="32"/>
          <w:szCs w:val="32"/>
          <w:highlight w:val="none"/>
        </w:rPr>
        <w:t>编号</w:t>
      </w:r>
      <w:r>
        <w:rPr>
          <w:rFonts w:hint="eastAsia" w:ascii="宋体" w:hAnsi="宋体" w:eastAsia="宋体" w:cs="宋体"/>
          <w:sz w:val="28"/>
          <w:szCs w:val="28"/>
          <w:highlight w:val="none"/>
        </w:rPr>
        <w:t>：</w:t>
      </w:r>
      <w:r>
        <w:rPr>
          <w:rFonts w:hint="eastAsia" w:hAnsi="宋体" w:eastAsia="宋体" w:cs="宋体"/>
          <w:sz w:val="32"/>
          <w:szCs w:val="32"/>
          <w:highlight w:val="none"/>
          <w:u w:val="single"/>
          <w:lang w:val="en-US" w:eastAsia="zh-CN"/>
        </w:rPr>
        <w:t xml:space="preserve">             </w:t>
      </w:r>
    </w:p>
    <w:p w14:paraId="0958A9DE">
      <w:pPr>
        <w:pStyle w:val="3"/>
        <w:jc w:val="both"/>
        <w:rPr>
          <w:rFonts w:hint="eastAsia" w:ascii="宋体" w:hAnsi="宋体" w:eastAsia="宋体" w:cs="宋体"/>
          <w:sz w:val="20"/>
          <w:szCs w:val="20"/>
          <w:highlight w:val="none"/>
        </w:rPr>
      </w:pPr>
    </w:p>
    <w:p w14:paraId="48353533">
      <w:pPr>
        <w:pStyle w:val="3"/>
        <w:ind w:firstLine="400" w:firstLineChars="200"/>
        <w:jc w:val="center"/>
        <w:rPr>
          <w:rFonts w:hint="eastAsia" w:ascii="宋体" w:hAnsi="宋体" w:eastAsia="宋体" w:cs="宋体"/>
          <w:sz w:val="20"/>
          <w:szCs w:val="20"/>
          <w:highlight w:val="none"/>
        </w:rPr>
      </w:pPr>
    </w:p>
    <w:p w14:paraId="176A3B0D">
      <w:pPr>
        <w:pStyle w:val="3"/>
        <w:ind w:firstLine="400" w:firstLineChars="200"/>
        <w:jc w:val="center"/>
        <w:rPr>
          <w:rFonts w:hint="eastAsia" w:ascii="宋体" w:hAnsi="宋体" w:eastAsia="宋体" w:cs="宋体"/>
          <w:sz w:val="20"/>
          <w:szCs w:val="20"/>
          <w:highlight w:val="none"/>
        </w:rPr>
      </w:pPr>
    </w:p>
    <w:p w14:paraId="1904AE7A">
      <w:pPr>
        <w:pStyle w:val="3"/>
        <w:ind w:firstLine="480" w:firstLineChars="200"/>
        <w:jc w:val="center"/>
        <w:rPr>
          <w:rFonts w:hint="eastAsia" w:ascii="宋体" w:hAnsi="宋体" w:eastAsia="宋体" w:cs="宋体"/>
          <w:sz w:val="24"/>
          <w:szCs w:val="24"/>
          <w:highlight w:val="none"/>
        </w:rPr>
      </w:pPr>
    </w:p>
    <w:p w14:paraId="42103604">
      <w:pPr>
        <w:pStyle w:val="3"/>
        <w:ind w:firstLine="480" w:firstLineChars="200"/>
        <w:jc w:val="center"/>
        <w:rPr>
          <w:rFonts w:hint="eastAsia" w:ascii="宋体" w:hAnsi="宋体" w:eastAsia="宋体" w:cs="宋体"/>
          <w:sz w:val="24"/>
          <w:szCs w:val="24"/>
          <w:highlight w:val="none"/>
        </w:rPr>
      </w:pPr>
    </w:p>
    <w:p w14:paraId="112D4905">
      <w:pPr>
        <w:pStyle w:val="3"/>
        <w:ind w:firstLine="720" w:firstLineChars="200"/>
        <w:jc w:val="center"/>
        <w:rPr>
          <w:rFonts w:hint="eastAsia" w:ascii="宋体" w:hAnsi="宋体" w:eastAsia="宋体" w:cs="宋体"/>
          <w:sz w:val="36"/>
          <w:szCs w:val="36"/>
          <w:highlight w:val="none"/>
        </w:rPr>
      </w:pPr>
      <w:r>
        <w:rPr>
          <w:rFonts w:hint="eastAsia" w:hAnsi="宋体" w:eastAsia="宋体" w:cs="宋体"/>
          <w:sz w:val="36"/>
          <w:szCs w:val="36"/>
          <w:highlight w:val="none"/>
          <w:lang w:val="en-US" w:eastAsia="zh-CN"/>
        </w:rPr>
        <w:t xml:space="preserve">              </w:t>
      </w:r>
      <w:r>
        <w:rPr>
          <w:rFonts w:hint="eastAsia" w:ascii="宋体" w:hAnsi="宋体" w:eastAsia="宋体" w:cs="宋体"/>
          <w:sz w:val="36"/>
          <w:szCs w:val="36"/>
          <w:highlight w:val="none"/>
        </w:rPr>
        <w:t>项目</w:t>
      </w:r>
    </w:p>
    <w:p w14:paraId="60E18122">
      <w:pPr>
        <w:pStyle w:val="3"/>
        <w:ind w:firstLine="480" w:firstLineChars="200"/>
        <w:rPr>
          <w:rFonts w:hint="eastAsia" w:ascii="宋体" w:hAnsi="宋体" w:eastAsia="宋体" w:cs="宋体"/>
          <w:sz w:val="24"/>
          <w:szCs w:val="24"/>
          <w:highlight w:val="none"/>
        </w:rPr>
      </w:pPr>
    </w:p>
    <w:p w14:paraId="198E0197">
      <w:pPr>
        <w:pStyle w:val="3"/>
        <w:ind w:firstLine="480" w:firstLineChars="200"/>
        <w:rPr>
          <w:rFonts w:hint="eastAsia" w:ascii="宋体" w:hAnsi="宋体" w:eastAsia="宋体" w:cs="宋体"/>
          <w:sz w:val="24"/>
          <w:szCs w:val="24"/>
          <w:highlight w:val="none"/>
        </w:rPr>
      </w:pPr>
    </w:p>
    <w:p w14:paraId="530F4122">
      <w:pPr>
        <w:pStyle w:val="3"/>
        <w:ind w:firstLine="480" w:firstLineChars="200"/>
        <w:rPr>
          <w:rFonts w:hint="eastAsia" w:ascii="宋体" w:hAnsi="宋体" w:eastAsia="宋体" w:cs="宋体"/>
          <w:sz w:val="24"/>
          <w:szCs w:val="24"/>
          <w:highlight w:val="none"/>
        </w:rPr>
      </w:pPr>
    </w:p>
    <w:p w14:paraId="734D1453">
      <w:pPr>
        <w:pStyle w:val="3"/>
        <w:ind w:firstLine="480" w:firstLineChars="200"/>
        <w:rPr>
          <w:rFonts w:hint="eastAsia" w:ascii="宋体" w:hAnsi="宋体" w:eastAsia="宋体" w:cs="宋体"/>
          <w:sz w:val="24"/>
          <w:szCs w:val="24"/>
          <w:highlight w:val="none"/>
        </w:rPr>
      </w:pPr>
    </w:p>
    <w:p w14:paraId="149C9053">
      <w:pPr>
        <w:pStyle w:val="3"/>
        <w:rPr>
          <w:rFonts w:hint="eastAsia" w:ascii="宋体" w:hAnsi="宋体" w:eastAsia="宋体" w:cs="宋体"/>
          <w:sz w:val="24"/>
          <w:szCs w:val="24"/>
          <w:highlight w:val="none"/>
        </w:rPr>
      </w:pPr>
    </w:p>
    <w:p w14:paraId="14DC7637">
      <w:pPr>
        <w:pStyle w:val="3"/>
        <w:ind w:firstLine="880" w:firstLineChars="200"/>
        <w:jc w:val="center"/>
        <w:rPr>
          <w:rFonts w:hint="default" w:ascii="宋体" w:hAnsi="宋体" w:eastAsia="宋体" w:cs="宋体"/>
          <w:sz w:val="44"/>
          <w:szCs w:val="44"/>
          <w:highlight w:val="none"/>
          <w:lang w:val="en-US" w:eastAsia="zh-CN"/>
        </w:rPr>
      </w:pPr>
      <w:r>
        <w:rPr>
          <w:rFonts w:hint="eastAsia" w:hAnsi="宋体" w:eastAsia="宋体" w:cs="宋体"/>
          <w:sz w:val="44"/>
          <w:szCs w:val="44"/>
          <w:highlight w:val="none"/>
          <w:lang w:val="en-US" w:eastAsia="zh-CN"/>
        </w:rPr>
        <w:t>政府采购合同</w:t>
      </w:r>
    </w:p>
    <w:p w14:paraId="28425B3E">
      <w:pPr>
        <w:pStyle w:val="3"/>
        <w:ind w:firstLine="480" w:firstLineChars="200"/>
        <w:rPr>
          <w:rFonts w:hint="eastAsia" w:ascii="宋体" w:hAnsi="宋体" w:eastAsia="宋体" w:cs="宋体"/>
          <w:sz w:val="24"/>
          <w:szCs w:val="24"/>
          <w:highlight w:val="none"/>
        </w:rPr>
      </w:pPr>
    </w:p>
    <w:p w14:paraId="2DB13A24">
      <w:pPr>
        <w:pStyle w:val="3"/>
        <w:rPr>
          <w:rFonts w:hint="eastAsia" w:ascii="宋体" w:hAnsi="宋体" w:eastAsia="宋体" w:cs="宋体"/>
          <w:sz w:val="24"/>
          <w:szCs w:val="24"/>
          <w:highlight w:val="none"/>
        </w:rPr>
      </w:pPr>
    </w:p>
    <w:p w14:paraId="6C409E5D">
      <w:pPr>
        <w:pStyle w:val="3"/>
        <w:rPr>
          <w:rFonts w:hint="eastAsia" w:ascii="宋体" w:hAnsi="宋体" w:eastAsia="宋体" w:cs="宋体"/>
          <w:sz w:val="24"/>
          <w:szCs w:val="24"/>
          <w:highlight w:val="none"/>
        </w:rPr>
      </w:pPr>
    </w:p>
    <w:p w14:paraId="53FB9FB3">
      <w:pPr>
        <w:pStyle w:val="3"/>
        <w:rPr>
          <w:rFonts w:hint="eastAsia" w:ascii="宋体" w:hAnsi="宋体" w:eastAsia="宋体" w:cs="宋体"/>
          <w:sz w:val="24"/>
          <w:szCs w:val="24"/>
          <w:highlight w:val="none"/>
        </w:rPr>
      </w:pPr>
    </w:p>
    <w:p w14:paraId="453C2A24">
      <w:pPr>
        <w:pStyle w:val="3"/>
        <w:rPr>
          <w:rFonts w:hint="eastAsia" w:ascii="宋体" w:hAnsi="宋体" w:eastAsia="宋体" w:cs="宋体"/>
          <w:sz w:val="24"/>
          <w:szCs w:val="24"/>
          <w:highlight w:val="none"/>
        </w:rPr>
      </w:pPr>
    </w:p>
    <w:p w14:paraId="63F91E19">
      <w:pPr>
        <w:pStyle w:val="3"/>
        <w:rPr>
          <w:rFonts w:hint="eastAsia" w:ascii="宋体" w:hAnsi="宋体" w:eastAsia="宋体" w:cs="宋体"/>
          <w:sz w:val="24"/>
          <w:szCs w:val="24"/>
          <w:highlight w:val="none"/>
        </w:rPr>
      </w:pPr>
    </w:p>
    <w:p w14:paraId="4FD2F5DD">
      <w:pPr>
        <w:pStyle w:val="3"/>
        <w:rPr>
          <w:rFonts w:hint="eastAsia" w:ascii="宋体" w:hAnsi="宋体" w:eastAsia="宋体" w:cs="宋体"/>
          <w:sz w:val="24"/>
          <w:szCs w:val="24"/>
          <w:highlight w:val="none"/>
        </w:rPr>
      </w:pPr>
    </w:p>
    <w:p w14:paraId="0951AC55">
      <w:pPr>
        <w:pStyle w:val="3"/>
        <w:rPr>
          <w:rFonts w:hint="eastAsia" w:ascii="宋体" w:hAnsi="宋体" w:eastAsia="宋体" w:cs="宋体"/>
          <w:sz w:val="24"/>
          <w:szCs w:val="24"/>
          <w:highlight w:val="none"/>
        </w:rPr>
      </w:pPr>
    </w:p>
    <w:p w14:paraId="27A11EF6">
      <w:pPr>
        <w:pStyle w:val="3"/>
        <w:rPr>
          <w:rFonts w:hint="eastAsia" w:ascii="宋体" w:hAnsi="宋体" w:eastAsia="宋体" w:cs="宋体"/>
          <w:sz w:val="24"/>
          <w:szCs w:val="24"/>
          <w:highlight w:val="none"/>
        </w:rPr>
      </w:pPr>
    </w:p>
    <w:p w14:paraId="15663B65">
      <w:pPr>
        <w:pStyle w:val="3"/>
        <w:rPr>
          <w:rFonts w:hint="eastAsia" w:ascii="宋体" w:hAnsi="宋体" w:eastAsia="宋体" w:cs="宋体"/>
          <w:sz w:val="24"/>
          <w:szCs w:val="24"/>
          <w:highlight w:val="none"/>
        </w:rPr>
      </w:pPr>
    </w:p>
    <w:p w14:paraId="6AC83E8B">
      <w:pPr>
        <w:pStyle w:val="3"/>
        <w:rPr>
          <w:rFonts w:hint="eastAsia" w:ascii="宋体" w:hAnsi="宋体" w:eastAsia="宋体" w:cs="宋体"/>
          <w:sz w:val="24"/>
          <w:szCs w:val="24"/>
          <w:highlight w:val="none"/>
        </w:rPr>
      </w:pPr>
    </w:p>
    <w:p w14:paraId="3931DF5B">
      <w:pPr>
        <w:pStyle w:val="3"/>
        <w:ind w:firstLine="480" w:firstLineChars="200"/>
        <w:rPr>
          <w:rFonts w:hint="eastAsia" w:ascii="宋体" w:hAnsi="宋体" w:eastAsia="宋体" w:cs="宋体"/>
          <w:sz w:val="24"/>
          <w:szCs w:val="24"/>
          <w:highlight w:val="none"/>
        </w:rPr>
      </w:pPr>
    </w:p>
    <w:p w14:paraId="76B1FFA4">
      <w:pPr>
        <w:pStyle w:val="3"/>
        <w:ind w:left="0" w:leftChars="0" w:firstLine="2784" w:firstLineChars="1160"/>
        <w:jc w:val="center"/>
        <w:rPr>
          <w:rFonts w:hint="eastAsia" w:ascii="宋体" w:hAnsi="宋体" w:eastAsia="宋体" w:cs="宋体"/>
          <w:sz w:val="24"/>
          <w:szCs w:val="24"/>
          <w:highlight w:val="none"/>
        </w:rPr>
      </w:pPr>
    </w:p>
    <w:p w14:paraId="6AB489B7">
      <w:pPr>
        <w:pStyle w:val="3"/>
        <w:spacing w:line="48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　　方：</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w:t>
      </w:r>
    </w:p>
    <w:p w14:paraId="1B13922D">
      <w:pPr>
        <w:pStyle w:val="3"/>
        <w:spacing w:line="48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　　方：____________________(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w:t>
      </w:r>
    </w:p>
    <w:p w14:paraId="162FE296">
      <w:pPr>
        <w:pStyle w:val="3"/>
        <w:spacing w:line="480" w:lineRule="auto"/>
        <w:ind w:firstLine="2160" w:firstLineChars="900"/>
        <w:jc w:val="both"/>
        <w:rPr>
          <w:rFonts w:hint="default"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日   期：</w:t>
      </w:r>
      <w:r>
        <w:rPr>
          <w:rFonts w:hint="eastAsia" w:hAnsi="宋体" w:eastAsia="宋体" w:cs="宋体"/>
          <w:sz w:val="24"/>
          <w:szCs w:val="24"/>
          <w:highlight w:val="none"/>
          <w:u w:val="single"/>
          <w:lang w:val="en-US" w:eastAsia="zh-CN"/>
        </w:rPr>
        <w:t xml:space="preserve">                       </w:t>
      </w:r>
    </w:p>
    <w:p w14:paraId="3C7B07A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根据《中华人民共和国政府采购法》、《中华人民共和国民法典》等有关法律法规规定，</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(采购人名称)(以下简称：“甲方”)通过</w:t>
      </w:r>
      <w:r>
        <w:rPr>
          <w:rFonts w:hint="eastAsia" w:hAnsi="宋体" w:eastAsia="宋体" w:cs="宋体"/>
          <w:sz w:val="24"/>
          <w:szCs w:val="24"/>
          <w:highlight w:val="none"/>
          <w:u w:val="single"/>
          <w:lang w:val="en-US" w:eastAsia="zh-CN"/>
        </w:rPr>
        <w:t>竞争性磋商</w:t>
      </w:r>
      <w:r>
        <w:rPr>
          <w:rFonts w:hint="eastAsia" w:ascii="宋体" w:hAnsi="宋体" w:eastAsia="宋体" w:cs="宋体"/>
          <w:sz w:val="24"/>
          <w:szCs w:val="24"/>
          <w:highlight w:val="none"/>
        </w:rPr>
        <w:t>采购(采购方式)确定______(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人名称)(以下简称：“乙方”)为</w:t>
      </w:r>
      <w:r>
        <w:rPr>
          <w:rFonts w:hint="eastAsia" w:hAnsi="宋体" w:eastAsia="宋体" w:cs="宋体"/>
          <w:sz w:val="24"/>
          <w:szCs w:val="24"/>
          <w:highlight w:val="none"/>
          <w:u w:val="single"/>
          <w:lang w:val="en-US" w:eastAsia="zh-CN"/>
        </w:rPr>
        <w:t>项目名称</w:t>
      </w:r>
      <w:r>
        <w:rPr>
          <w:rFonts w:hint="eastAsia" w:ascii="宋体" w:hAnsi="宋体" w:eastAsia="宋体" w:cs="宋体"/>
          <w:sz w:val="24"/>
          <w:szCs w:val="24"/>
          <w:highlight w:val="none"/>
        </w:rPr>
        <w:t>的</w:t>
      </w:r>
      <w:r>
        <w:rPr>
          <w:rFonts w:hint="eastAsia" w:hAnsi="宋体" w:eastAsia="宋体" w:cs="宋体"/>
          <w:sz w:val="24"/>
          <w:szCs w:val="24"/>
          <w:highlight w:val="none"/>
          <w:u w:val="none"/>
          <w:lang w:val="en-US" w:eastAsia="zh-CN"/>
        </w:rPr>
        <w:t>成交人</w:t>
      </w:r>
      <w:r>
        <w:rPr>
          <w:rFonts w:hint="eastAsia" w:ascii="宋体" w:hAnsi="宋体" w:eastAsia="宋体" w:cs="宋体"/>
          <w:sz w:val="24"/>
          <w:szCs w:val="24"/>
          <w:highlight w:val="none"/>
        </w:rPr>
        <w:t>。甲乙双方同意签署</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项目名称</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政府采购合同</w:t>
      </w:r>
      <w:r>
        <w:rPr>
          <w:rFonts w:hint="eastAsia" w:ascii="宋体" w:hAnsi="宋体" w:eastAsia="宋体" w:cs="宋体"/>
          <w:sz w:val="24"/>
          <w:szCs w:val="24"/>
          <w:highlight w:val="none"/>
        </w:rPr>
        <w:t>(合同编号：______，以下简称：“合同”)。</w:t>
      </w:r>
    </w:p>
    <w:p w14:paraId="420D5AA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1.合同文件</w:t>
      </w:r>
    </w:p>
    <w:p w14:paraId="580D72D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w:t>
      </w:r>
    </w:p>
    <w:p w14:paraId="288A786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(1)合同条款；</w:t>
      </w:r>
    </w:p>
    <w:p w14:paraId="4CF3136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通知书；</w:t>
      </w:r>
    </w:p>
    <w:p w14:paraId="5BD813D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hAnsi="宋体" w:eastAsia="宋体" w:cs="宋体"/>
          <w:sz w:val="24"/>
          <w:szCs w:val="24"/>
          <w:highlight w:val="none"/>
          <w:lang w:val="en-US" w:eastAsia="zh-CN"/>
        </w:rPr>
        <w:t>磋商</w:t>
      </w:r>
      <w:r>
        <w:rPr>
          <w:rFonts w:hint="eastAsia" w:ascii="宋体" w:hAnsi="宋体" w:eastAsia="宋体" w:cs="宋体"/>
          <w:sz w:val="24"/>
          <w:szCs w:val="24"/>
          <w:highlight w:val="none"/>
        </w:rPr>
        <w:t>文件</w:t>
      </w:r>
    </w:p>
    <w:p w14:paraId="7972A50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hAnsi="宋体" w:eastAsia="宋体" w:cs="宋体"/>
          <w:sz w:val="24"/>
          <w:szCs w:val="24"/>
          <w:highlight w:val="none"/>
          <w:lang w:val="en-US" w:eastAsia="zh-CN"/>
        </w:rPr>
        <w:t>响应</w:t>
      </w:r>
      <w:r>
        <w:rPr>
          <w:rFonts w:hint="eastAsia" w:ascii="宋体" w:hAnsi="宋体" w:eastAsia="宋体" w:cs="宋体"/>
          <w:sz w:val="24"/>
          <w:szCs w:val="24"/>
          <w:highlight w:val="none"/>
        </w:rPr>
        <w:t>文件；</w:t>
      </w:r>
    </w:p>
    <w:p w14:paraId="7253699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7A2209D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2.合同标的(根据实际情况填写)</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2F4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53A227">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服务名称</w:t>
            </w:r>
          </w:p>
        </w:tc>
        <w:tc>
          <w:tcPr>
            <w:tcW w:w="816" w:type="dxa"/>
            <w:noWrap w:val="0"/>
            <w:vAlign w:val="center"/>
          </w:tcPr>
          <w:p w14:paraId="2D5C86AC">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816" w:type="dxa"/>
            <w:noWrap w:val="0"/>
            <w:vAlign w:val="center"/>
          </w:tcPr>
          <w:p w14:paraId="038005BA">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5164" w:type="dxa"/>
            <w:noWrap w:val="0"/>
            <w:vAlign w:val="center"/>
          </w:tcPr>
          <w:p w14:paraId="5245B571">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具体服务承诺(包含但不限于服务内容、范围和基本要求)</w:t>
            </w:r>
          </w:p>
        </w:tc>
      </w:tr>
      <w:tr w14:paraId="474B8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12D1249">
            <w:pPr>
              <w:pStyle w:val="3"/>
              <w:jc w:val="center"/>
              <w:rPr>
                <w:rFonts w:hint="eastAsia" w:ascii="宋体" w:hAnsi="宋体" w:eastAsia="宋体" w:cs="宋体"/>
                <w:sz w:val="24"/>
                <w:szCs w:val="24"/>
                <w:highlight w:val="none"/>
              </w:rPr>
            </w:pPr>
          </w:p>
        </w:tc>
        <w:tc>
          <w:tcPr>
            <w:tcW w:w="816" w:type="dxa"/>
            <w:noWrap w:val="0"/>
            <w:vAlign w:val="center"/>
          </w:tcPr>
          <w:p w14:paraId="41B09609">
            <w:pPr>
              <w:pStyle w:val="3"/>
              <w:jc w:val="center"/>
              <w:rPr>
                <w:rFonts w:hint="eastAsia" w:ascii="宋体" w:hAnsi="宋体" w:eastAsia="宋体" w:cs="宋体"/>
                <w:sz w:val="24"/>
                <w:szCs w:val="24"/>
                <w:highlight w:val="none"/>
              </w:rPr>
            </w:pPr>
          </w:p>
        </w:tc>
        <w:tc>
          <w:tcPr>
            <w:tcW w:w="816" w:type="dxa"/>
            <w:noWrap w:val="0"/>
            <w:vAlign w:val="center"/>
          </w:tcPr>
          <w:p w14:paraId="775FB6EA">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w:t>
            </w:r>
          </w:p>
        </w:tc>
        <w:tc>
          <w:tcPr>
            <w:tcW w:w="5164" w:type="dxa"/>
            <w:noWrap w:val="0"/>
            <w:vAlign w:val="center"/>
          </w:tcPr>
          <w:p w14:paraId="2153600D">
            <w:pPr>
              <w:pStyle w:val="3"/>
              <w:jc w:val="center"/>
              <w:rPr>
                <w:rFonts w:hint="eastAsia" w:ascii="宋体" w:hAnsi="宋体" w:eastAsia="宋体" w:cs="宋体"/>
                <w:sz w:val="24"/>
                <w:szCs w:val="24"/>
                <w:highlight w:val="none"/>
              </w:rPr>
            </w:pPr>
          </w:p>
        </w:tc>
      </w:tr>
      <w:tr w14:paraId="6B60C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7D3BE75">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816" w:type="dxa"/>
            <w:noWrap w:val="0"/>
            <w:vAlign w:val="center"/>
          </w:tcPr>
          <w:p w14:paraId="625A263A">
            <w:pPr>
              <w:pStyle w:val="3"/>
              <w:jc w:val="center"/>
              <w:rPr>
                <w:rFonts w:hint="eastAsia" w:ascii="宋体" w:hAnsi="宋体" w:eastAsia="宋体" w:cs="宋体"/>
                <w:sz w:val="24"/>
                <w:szCs w:val="24"/>
                <w:highlight w:val="none"/>
              </w:rPr>
            </w:pPr>
          </w:p>
        </w:tc>
        <w:tc>
          <w:tcPr>
            <w:tcW w:w="816" w:type="dxa"/>
            <w:noWrap w:val="0"/>
            <w:vAlign w:val="center"/>
          </w:tcPr>
          <w:p w14:paraId="484CCEA8">
            <w:pPr>
              <w:pStyle w:val="3"/>
              <w:jc w:val="center"/>
              <w:rPr>
                <w:rFonts w:hint="eastAsia" w:ascii="宋体" w:hAnsi="宋体" w:eastAsia="宋体" w:cs="宋体"/>
                <w:sz w:val="24"/>
                <w:szCs w:val="24"/>
                <w:highlight w:val="none"/>
              </w:rPr>
            </w:pPr>
          </w:p>
        </w:tc>
        <w:tc>
          <w:tcPr>
            <w:tcW w:w="5164" w:type="dxa"/>
            <w:noWrap w:val="0"/>
            <w:vAlign w:val="center"/>
          </w:tcPr>
          <w:p w14:paraId="443035B6">
            <w:pPr>
              <w:pStyle w:val="3"/>
              <w:jc w:val="center"/>
              <w:rPr>
                <w:rFonts w:hint="eastAsia" w:ascii="宋体" w:hAnsi="宋体" w:eastAsia="宋体" w:cs="宋体"/>
                <w:sz w:val="24"/>
                <w:szCs w:val="24"/>
                <w:highlight w:val="none"/>
              </w:rPr>
            </w:pPr>
          </w:p>
        </w:tc>
      </w:tr>
    </w:tbl>
    <w:p w14:paraId="1B8CCC5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3.合同金额及付款方式</w:t>
      </w:r>
    </w:p>
    <w:p w14:paraId="4A0BFD8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3.1合同金额</w:t>
      </w:r>
    </w:p>
    <w:p w14:paraId="55B821C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本合同总金额为人民币______</w:t>
      </w:r>
      <w:r>
        <w:rPr>
          <w:rFonts w:hint="eastAsia" w:hAnsi="宋体" w:eastAsia="宋体" w:cs="宋体"/>
          <w:sz w:val="24"/>
          <w:szCs w:val="24"/>
          <w:highlight w:val="non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______)。本合同金额已包含但不限于乙方为提供服务所产生的全部成本、预期利益、售后服务、税费和合同中规定乙方应承担的其他义务的费用等。</w:t>
      </w:r>
    </w:p>
    <w:p w14:paraId="6D99B9D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3.2付款方式</w:t>
      </w:r>
    </w:p>
    <w:p w14:paraId="7B01855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p>
    <w:p w14:paraId="23058FD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4.合同签订地</w:t>
      </w:r>
    </w:p>
    <w:p w14:paraId="071FF75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根据实际情况填写</w:t>
      </w:r>
    </w:p>
    <w:p w14:paraId="01AC9EE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5.合同生效</w:t>
      </w:r>
    </w:p>
    <w:p w14:paraId="18C82EA7">
      <w:pPr>
        <w:pStyle w:val="3"/>
        <w:keepNext w:val="0"/>
        <w:keepLines w:val="0"/>
        <w:pageBreakBefore w:val="0"/>
        <w:widowControl w:val="0"/>
        <w:kinsoku/>
        <w:wordWrap/>
        <w:overflowPunct/>
        <w:topLinePunct w:val="0"/>
        <w:autoSpaceDE/>
        <w:autoSpaceDN/>
        <w:bidi w:val="0"/>
        <w:adjustRightInd/>
        <w:snapToGrid/>
        <w:spacing w:line="336"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本合同一式肆份，甲方执</w:t>
      </w:r>
      <w:r>
        <w:rPr>
          <w:rFonts w:hint="eastAsia" w:hAnsi="宋体" w:eastAsia="宋体" w:cs="宋体"/>
          <w:sz w:val="24"/>
          <w:szCs w:val="24"/>
          <w:highlight w:val="none"/>
          <w:lang w:val="en-US" w:eastAsia="zh-CN"/>
        </w:rPr>
        <w:t>叁</w:t>
      </w:r>
      <w:r>
        <w:rPr>
          <w:rFonts w:hint="eastAsia" w:ascii="宋体" w:hAnsi="宋体" w:eastAsia="宋体" w:cs="宋体"/>
          <w:sz w:val="24"/>
          <w:szCs w:val="24"/>
          <w:highlight w:val="none"/>
        </w:rPr>
        <w:t>份、乙方执壹份。在甲、乙</w:t>
      </w:r>
      <w:r>
        <w:rPr>
          <w:rFonts w:hint="eastAsia" w:hAnsi="宋体" w:eastAsia="宋体" w:cs="宋体"/>
          <w:sz w:val="24"/>
          <w:szCs w:val="24"/>
          <w:highlight w:val="none"/>
          <w:lang w:val="en-US" w:eastAsia="zh-CN"/>
        </w:rPr>
        <w:t>方</w:t>
      </w:r>
      <w:r>
        <w:rPr>
          <w:rFonts w:hint="eastAsia" w:ascii="宋体" w:hAnsi="宋体" w:eastAsia="宋体" w:cs="宋体"/>
          <w:sz w:val="24"/>
          <w:szCs w:val="24"/>
          <w:highlight w:val="none"/>
        </w:rPr>
        <w:t>签字盖章后生效，合同执行完毕自动失效（合同的服务承诺则长期有效）。</w:t>
      </w:r>
    </w:p>
    <w:p w14:paraId="5890CDE9">
      <w:pPr>
        <w:pStyle w:val="3"/>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4"/>
        <w:tblW w:w="8804" w:type="dxa"/>
        <w:jc w:val="center"/>
        <w:tblLayout w:type="fixed"/>
        <w:tblCellMar>
          <w:top w:w="0" w:type="dxa"/>
          <w:left w:w="108" w:type="dxa"/>
          <w:bottom w:w="0" w:type="dxa"/>
          <w:right w:w="108" w:type="dxa"/>
        </w:tblCellMar>
      </w:tblPr>
      <w:tblGrid>
        <w:gridCol w:w="4551"/>
        <w:gridCol w:w="4253"/>
      </w:tblGrid>
      <w:tr w14:paraId="0BC6F4FA">
        <w:tblPrEx>
          <w:tblCellMar>
            <w:top w:w="0" w:type="dxa"/>
            <w:left w:w="108" w:type="dxa"/>
            <w:bottom w:w="0" w:type="dxa"/>
            <w:right w:w="108" w:type="dxa"/>
          </w:tblCellMar>
        </w:tblPrEx>
        <w:trPr>
          <w:trHeight w:val="390" w:hRule="atLeast"/>
          <w:jc w:val="center"/>
        </w:trPr>
        <w:tc>
          <w:tcPr>
            <w:tcW w:w="4551" w:type="dxa"/>
            <w:tcBorders>
              <w:top w:val="single" w:color="auto" w:sz="8" w:space="0"/>
              <w:left w:val="single" w:color="auto" w:sz="8" w:space="0"/>
              <w:bottom w:val="single" w:color="auto" w:sz="8" w:space="0"/>
              <w:right w:val="single" w:color="auto" w:sz="8" w:space="0"/>
            </w:tcBorders>
            <w:noWrap w:val="0"/>
            <w:vAlign w:val="center"/>
          </w:tcPr>
          <w:p w14:paraId="45735E09">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  方</w:t>
            </w:r>
            <w:r>
              <w:rPr>
                <w:rFonts w:hint="eastAsia" w:ascii="宋体" w:hAnsi="宋体" w:eastAsia="宋体" w:cs="宋体"/>
                <w:color w:val="000000"/>
                <w:kern w:val="0"/>
                <w:sz w:val="24"/>
                <w:szCs w:val="24"/>
                <w:highlight w:val="none"/>
                <w:lang w:eastAsia="zh-CN"/>
              </w:rPr>
              <w:t>：</w:t>
            </w:r>
          </w:p>
        </w:tc>
        <w:tc>
          <w:tcPr>
            <w:tcW w:w="4253" w:type="dxa"/>
            <w:tcBorders>
              <w:top w:val="single" w:color="auto" w:sz="8" w:space="0"/>
              <w:left w:val="nil"/>
              <w:bottom w:val="single" w:color="auto" w:sz="8" w:space="0"/>
              <w:right w:val="single" w:color="auto" w:sz="8" w:space="0"/>
            </w:tcBorders>
            <w:noWrap w:val="0"/>
            <w:vAlign w:val="center"/>
          </w:tcPr>
          <w:p w14:paraId="76B6B9DD">
            <w:pPr>
              <w:widowControl/>
              <w:spacing w:line="240" w:lineRule="auto"/>
              <w:jc w:val="left"/>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乙  方</w:t>
            </w:r>
            <w:r>
              <w:rPr>
                <w:rFonts w:hint="eastAsia" w:ascii="宋体" w:hAnsi="宋体" w:eastAsia="宋体" w:cs="宋体"/>
                <w:color w:val="000000"/>
                <w:kern w:val="0"/>
                <w:sz w:val="24"/>
                <w:szCs w:val="24"/>
                <w:highlight w:val="none"/>
                <w:lang w:eastAsia="zh-CN"/>
              </w:rPr>
              <w:t>：</w:t>
            </w:r>
          </w:p>
        </w:tc>
      </w:tr>
      <w:tr w14:paraId="7698E182">
        <w:tblPrEx>
          <w:tblCellMar>
            <w:top w:w="0" w:type="dxa"/>
            <w:left w:w="108" w:type="dxa"/>
            <w:bottom w:w="0" w:type="dxa"/>
            <w:right w:w="108" w:type="dxa"/>
          </w:tblCellMar>
        </w:tblPrEx>
        <w:trPr>
          <w:trHeight w:val="735"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20A7279C">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14:paraId="5E2CABBE">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r>
      <w:tr w14:paraId="40AF251E">
        <w:tblPrEx>
          <w:tblCellMar>
            <w:top w:w="0" w:type="dxa"/>
            <w:left w:w="108" w:type="dxa"/>
            <w:bottom w:w="0" w:type="dxa"/>
            <w:right w:w="108" w:type="dxa"/>
          </w:tblCellMar>
        </w:tblPrEx>
        <w:trPr>
          <w:trHeight w:val="235"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336C95BB">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CA1FB82">
            <w:pPr>
              <w:widowControl/>
              <w:spacing w:line="240" w:lineRule="auto"/>
              <w:jc w:val="center"/>
              <w:rPr>
                <w:rFonts w:hint="eastAsia" w:ascii="宋体" w:hAnsi="宋体" w:eastAsia="宋体" w:cs="宋体"/>
                <w:color w:val="000000"/>
                <w:kern w:val="0"/>
                <w:sz w:val="24"/>
                <w:szCs w:val="24"/>
                <w:highlight w:val="none"/>
              </w:rPr>
            </w:pPr>
          </w:p>
        </w:tc>
      </w:tr>
      <w:tr w14:paraId="128A73EF">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4428BC8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6BFFC82A">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r>
      <w:tr w14:paraId="6743E91A">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21D1F69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CA907B0">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r>
      <w:tr w14:paraId="09D6D5E9">
        <w:tblPrEx>
          <w:tblCellMar>
            <w:top w:w="0" w:type="dxa"/>
            <w:left w:w="108" w:type="dxa"/>
            <w:bottom w:w="0" w:type="dxa"/>
            <w:right w:w="108" w:type="dxa"/>
          </w:tblCellMar>
        </w:tblPrEx>
        <w:trPr>
          <w:trHeight w:val="576"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03D622E7">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EA2A482">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w:t>
            </w:r>
          </w:p>
        </w:tc>
      </w:tr>
      <w:tr w14:paraId="7ADC2CB6">
        <w:tblPrEx>
          <w:tblCellMar>
            <w:top w:w="0" w:type="dxa"/>
            <w:left w:w="108" w:type="dxa"/>
            <w:bottom w:w="0" w:type="dxa"/>
            <w:right w:w="108" w:type="dxa"/>
          </w:tblCellMar>
        </w:tblPrEx>
        <w:trPr>
          <w:trHeight w:val="502"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67856219">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2AE6918">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被授权代表：（签字）</w:t>
            </w:r>
          </w:p>
        </w:tc>
      </w:tr>
      <w:tr w14:paraId="05DB5880">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76E77FEA">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60991CEF">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r>
      <w:tr w14:paraId="3F3DD4A8">
        <w:tblPrEx>
          <w:tblCellMar>
            <w:top w:w="0" w:type="dxa"/>
            <w:left w:w="108" w:type="dxa"/>
            <w:bottom w:w="0" w:type="dxa"/>
            <w:right w:w="108" w:type="dxa"/>
          </w:tblCellMar>
        </w:tblPrEx>
        <w:trPr>
          <w:trHeight w:val="390"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22D2996E">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45788D1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r>
      <w:tr w14:paraId="7DF1A83A">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62D1032E">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03070AB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r>
      <w:tr w14:paraId="0D298EC9">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736C01D9">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6A75295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14:paraId="60671C1E">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2D7ABAE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26803AE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r>
      <w:tr w14:paraId="34EB5694">
        <w:tblPrEx>
          <w:tblCellMar>
            <w:top w:w="0" w:type="dxa"/>
            <w:left w:w="108" w:type="dxa"/>
            <w:bottom w:w="0" w:type="dxa"/>
            <w:right w:w="108" w:type="dxa"/>
          </w:tblCellMar>
        </w:tblPrEx>
        <w:trPr>
          <w:trHeight w:val="381" w:hRule="atLeast"/>
          <w:jc w:val="center"/>
        </w:trPr>
        <w:tc>
          <w:tcPr>
            <w:tcW w:w="4551" w:type="dxa"/>
            <w:tcBorders>
              <w:top w:val="nil"/>
              <w:left w:val="single" w:color="auto" w:sz="8" w:space="0"/>
              <w:bottom w:val="nil"/>
              <w:right w:val="single" w:color="auto" w:sz="8" w:space="0"/>
            </w:tcBorders>
            <w:noWrap w:val="0"/>
            <w:vAlign w:val="center"/>
          </w:tcPr>
          <w:p w14:paraId="5C667C0B">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见证方</w:t>
            </w:r>
          </w:p>
        </w:tc>
        <w:tc>
          <w:tcPr>
            <w:tcW w:w="4253" w:type="dxa"/>
            <w:tcBorders>
              <w:top w:val="nil"/>
              <w:left w:val="nil"/>
              <w:bottom w:val="nil"/>
              <w:right w:val="nil"/>
            </w:tcBorders>
            <w:noWrap/>
            <w:vAlign w:val="center"/>
          </w:tcPr>
          <w:p w14:paraId="6E3B5D2A">
            <w:pPr>
              <w:widowControl/>
              <w:spacing w:line="240" w:lineRule="auto"/>
              <w:jc w:val="left"/>
              <w:rPr>
                <w:rFonts w:hint="eastAsia" w:ascii="宋体" w:hAnsi="宋体" w:eastAsia="宋体" w:cs="宋体"/>
                <w:color w:val="000000"/>
                <w:kern w:val="0"/>
                <w:sz w:val="24"/>
                <w:szCs w:val="24"/>
                <w:highlight w:val="none"/>
              </w:rPr>
            </w:pPr>
          </w:p>
        </w:tc>
      </w:tr>
      <w:tr w14:paraId="2EA1ABE4">
        <w:tblPrEx>
          <w:tblCellMar>
            <w:top w:w="0" w:type="dxa"/>
            <w:left w:w="108" w:type="dxa"/>
            <w:bottom w:w="0" w:type="dxa"/>
            <w:right w:w="108" w:type="dxa"/>
          </w:tblCellMar>
        </w:tblPrEx>
        <w:trPr>
          <w:trHeight w:val="270" w:hRule="atLeast"/>
          <w:jc w:val="center"/>
        </w:trPr>
        <w:tc>
          <w:tcPr>
            <w:tcW w:w="4551" w:type="dxa"/>
            <w:vMerge w:val="restart"/>
            <w:tcBorders>
              <w:top w:val="single" w:color="auto" w:sz="8" w:space="0"/>
              <w:left w:val="single" w:color="auto" w:sz="8" w:space="0"/>
              <w:right w:val="single" w:color="auto" w:sz="8" w:space="0"/>
            </w:tcBorders>
            <w:noWrap w:val="0"/>
            <w:vAlign w:val="center"/>
          </w:tcPr>
          <w:p w14:paraId="118DED94">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nil"/>
            </w:tcBorders>
            <w:noWrap/>
            <w:vAlign w:val="center"/>
          </w:tcPr>
          <w:p w14:paraId="7725F4B0">
            <w:pPr>
              <w:widowControl/>
              <w:spacing w:line="240" w:lineRule="auto"/>
              <w:jc w:val="left"/>
              <w:rPr>
                <w:rFonts w:hint="eastAsia" w:ascii="宋体" w:hAnsi="宋体" w:eastAsia="宋体" w:cs="宋体"/>
                <w:color w:val="000000"/>
                <w:kern w:val="0"/>
                <w:sz w:val="24"/>
                <w:szCs w:val="24"/>
                <w:highlight w:val="none"/>
              </w:rPr>
            </w:pPr>
          </w:p>
        </w:tc>
      </w:tr>
      <w:tr w14:paraId="6C44E36B">
        <w:tblPrEx>
          <w:tblCellMar>
            <w:top w:w="0" w:type="dxa"/>
            <w:left w:w="108" w:type="dxa"/>
            <w:bottom w:w="0" w:type="dxa"/>
            <w:right w:w="108" w:type="dxa"/>
          </w:tblCellMar>
        </w:tblPrEx>
        <w:trPr>
          <w:trHeight w:val="299" w:hRule="atLeast"/>
          <w:jc w:val="center"/>
        </w:trPr>
        <w:tc>
          <w:tcPr>
            <w:tcW w:w="4551" w:type="dxa"/>
            <w:vMerge w:val="continue"/>
            <w:tcBorders>
              <w:left w:val="single" w:color="auto" w:sz="8" w:space="0"/>
              <w:right w:val="single" w:color="auto" w:sz="8" w:space="0"/>
            </w:tcBorders>
            <w:noWrap w:val="0"/>
            <w:vAlign w:val="center"/>
          </w:tcPr>
          <w:p w14:paraId="71587CCB">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62D75BB1">
            <w:pPr>
              <w:widowControl/>
              <w:spacing w:line="240" w:lineRule="auto"/>
              <w:jc w:val="left"/>
              <w:rPr>
                <w:rFonts w:hint="eastAsia" w:ascii="宋体" w:hAnsi="宋体" w:eastAsia="宋体" w:cs="宋体"/>
                <w:color w:val="000000"/>
                <w:kern w:val="0"/>
                <w:sz w:val="24"/>
                <w:szCs w:val="24"/>
                <w:highlight w:val="none"/>
              </w:rPr>
            </w:pPr>
          </w:p>
        </w:tc>
      </w:tr>
      <w:tr w14:paraId="405FBDA3">
        <w:tblPrEx>
          <w:tblCellMar>
            <w:top w:w="0" w:type="dxa"/>
            <w:left w:w="108" w:type="dxa"/>
            <w:bottom w:w="0" w:type="dxa"/>
            <w:right w:w="108" w:type="dxa"/>
          </w:tblCellMar>
        </w:tblPrEx>
        <w:trPr>
          <w:trHeight w:val="270" w:hRule="atLeast"/>
          <w:jc w:val="center"/>
        </w:trPr>
        <w:tc>
          <w:tcPr>
            <w:tcW w:w="4551" w:type="dxa"/>
            <w:vMerge w:val="continue"/>
            <w:tcBorders>
              <w:left w:val="single" w:color="auto" w:sz="8" w:space="0"/>
              <w:right w:val="single" w:color="auto" w:sz="8" w:space="0"/>
            </w:tcBorders>
            <w:noWrap w:val="0"/>
            <w:vAlign w:val="center"/>
          </w:tcPr>
          <w:p w14:paraId="30A1DCB8">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21F7FA8A">
            <w:pPr>
              <w:widowControl/>
              <w:spacing w:line="240" w:lineRule="auto"/>
              <w:jc w:val="left"/>
              <w:rPr>
                <w:rFonts w:hint="eastAsia" w:ascii="宋体" w:hAnsi="宋体" w:eastAsia="宋体" w:cs="宋体"/>
                <w:color w:val="000000"/>
                <w:kern w:val="0"/>
                <w:sz w:val="24"/>
                <w:szCs w:val="24"/>
                <w:highlight w:val="none"/>
              </w:rPr>
            </w:pPr>
          </w:p>
        </w:tc>
      </w:tr>
      <w:tr w14:paraId="7EA22B15">
        <w:tblPrEx>
          <w:tblCellMar>
            <w:top w:w="0" w:type="dxa"/>
            <w:left w:w="108" w:type="dxa"/>
            <w:bottom w:w="0" w:type="dxa"/>
            <w:right w:w="108" w:type="dxa"/>
          </w:tblCellMar>
        </w:tblPrEx>
        <w:trPr>
          <w:trHeight w:val="285" w:hRule="atLeast"/>
          <w:jc w:val="center"/>
        </w:trPr>
        <w:tc>
          <w:tcPr>
            <w:tcW w:w="4551" w:type="dxa"/>
            <w:vMerge w:val="continue"/>
            <w:tcBorders>
              <w:left w:val="single" w:color="auto" w:sz="8" w:space="0"/>
              <w:bottom w:val="single" w:color="000000" w:sz="8" w:space="0"/>
              <w:right w:val="single" w:color="auto" w:sz="8" w:space="0"/>
            </w:tcBorders>
            <w:noWrap w:val="0"/>
            <w:vAlign w:val="center"/>
          </w:tcPr>
          <w:p w14:paraId="0E031AB1">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2BACC115">
            <w:pPr>
              <w:widowControl/>
              <w:spacing w:line="240" w:lineRule="auto"/>
              <w:jc w:val="left"/>
              <w:rPr>
                <w:rFonts w:hint="eastAsia" w:ascii="宋体" w:hAnsi="宋体" w:eastAsia="宋体" w:cs="宋体"/>
                <w:color w:val="000000"/>
                <w:kern w:val="0"/>
                <w:sz w:val="24"/>
                <w:szCs w:val="24"/>
                <w:highlight w:val="none"/>
              </w:rPr>
            </w:pPr>
          </w:p>
        </w:tc>
      </w:tr>
      <w:tr w14:paraId="61BEA032">
        <w:tblPrEx>
          <w:tblCellMar>
            <w:top w:w="0" w:type="dxa"/>
            <w:left w:w="108" w:type="dxa"/>
            <w:bottom w:w="0" w:type="dxa"/>
            <w:right w:w="108" w:type="dxa"/>
          </w:tblCellMar>
        </w:tblPrEx>
        <w:trPr>
          <w:trHeight w:val="512" w:hRule="atLeast"/>
          <w:jc w:val="center"/>
        </w:trPr>
        <w:tc>
          <w:tcPr>
            <w:tcW w:w="4551" w:type="dxa"/>
            <w:tcBorders>
              <w:top w:val="nil"/>
              <w:left w:val="single" w:color="auto" w:sz="8" w:space="0"/>
              <w:bottom w:val="single" w:color="auto" w:sz="8" w:space="0"/>
              <w:right w:val="single" w:color="auto" w:sz="8" w:space="0"/>
            </w:tcBorders>
            <w:noWrap w:val="0"/>
            <w:vAlign w:val="center"/>
          </w:tcPr>
          <w:p w14:paraId="5F6B07D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nil"/>
              <w:right w:val="nil"/>
            </w:tcBorders>
            <w:noWrap/>
            <w:vAlign w:val="center"/>
          </w:tcPr>
          <w:p w14:paraId="14179CC1">
            <w:pPr>
              <w:widowControl/>
              <w:spacing w:line="240" w:lineRule="auto"/>
              <w:jc w:val="left"/>
              <w:rPr>
                <w:rFonts w:hint="eastAsia" w:ascii="宋体" w:hAnsi="宋体" w:eastAsia="宋体" w:cs="宋体"/>
                <w:color w:val="000000"/>
                <w:kern w:val="0"/>
                <w:sz w:val="24"/>
                <w:szCs w:val="24"/>
                <w:highlight w:val="none"/>
              </w:rPr>
            </w:pPr>
          </w:p>
        </w:tc>
      </w:tr>
    </w:tbl>
    <w:p w14:paraId="41E1CAD6">
      <w:pPr>
        <w:pStyle w:val="3"/>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一、合同条款</w:t>
      </w:r>
    </w:p>
    <w:p w14:paraId="0A6B32C9">
      <w:pPr>
        <w:pStyle w:val="3"/>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410"/>
      </w:tblGrid>
      <w:tr w14:paraId="56D5B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8E8A687">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410" w:type="dxa"/>
            <w:noWrap w:val="0"/>
            <w:vAlign w:val="center"/>
          </w:tcPr>
          <w:p w14:paraId="5952DFC2">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r>
      <w:tr w14:paraId="02D3A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noWrap w:val="0"/>
            <w:vAlign w:val="center"/>
          </w:tcPr>
          <w:p w14:paraId="455CA3FE">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410" w:type="dxa"/>
            <w:noWrap w:val="0"/>
            <w:vAlign w:val="center"/>
          </w:tcPr>
          <w:p w14:paraId="267A957D">
            <w:pPr>
              <w:pStyle w:val="3"/>
              <w:ind w:left="1200" w:hanging="1200" w:hangingChars="5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合同名称：</w:t>
            </w:r>
          </w:p>
          <w:p w14:paraId="40C0C5E8">
            <w:pPr>
              <w:pStyle w:val="3"/>
              <w:jc w:val="left"/>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项目</w:t>
            </w:r>
            <w:r>
              <w:rPr>
                <w:rFonts w:hint="eastAsia" w:ascii="宋体" w:hAnsi="宋体" w:eastAsia="宋体" w:cs="宋体"/>
                <w:sz w:val="24"/>
                <w:szCs w:val="24"/>
                <w:highlight w:val="none"/>
              </w:rPr>
              <w:t>编号：</w:t>
            </w:r>
          </w:p>
        </w:tc>
      </w:tr>
      <w:tr w14:paraId="57F31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033FBFF6">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410" w:type="dxa"/>
            <w:noWrap w:val="0"/>
            <w:vAlign w:val="center"/>
          </w:tcPr>
          <w:p w14:paraId="76FFB9C0">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p>
        </w:tc>
      </w:tr>
      <w:tr w14:paraId="6F121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65D21250">
            <w:pPr>
              <w:pStyle w:val="3"/>
              <w:jc w:val="center"/>
              <w:rPr>
                <w:rFonts w:hint="eastAsia" w:ascii="宋体" w:hAnsi="宋体" w:eastAsia="宋体" w:cs="宋体"/>
                <w:sz w:val="24"/>
                <w:szCs w:val="24"/>
                <w:highlight w:val="none"/>
              </w:rPr>
            </w:pPr>
          </w:p>
        </w:tc>
        <w:tc>
          <w:tcPr>
            <w:tcW w:w="8410" w:type="dxa"/>
            <w:noWrap w:val="0"/>
            <w:vAlign w:val="center"/>
          </w:tcPr>
          <w:p w14:paraId="795FF3B3">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甲方地址：</w:t>
            </w:r>
          </w:p>
        </w:tc>
      </w:tr>
      <w:tr w14:paraId="5B983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7F106E73">
            <w:pPr>
              <w:pStyle w:val="3"/>
              <w:jc w:val="center"/>
              <w:rPr>
                <w:rFonts w:hint="eastAsia" w:ascii="宋体" w:hAnsi="宋体" w:eastAsia="宋体" w:cs="宋体"/>
                <w:sz w:val="24"/>
                <w:szCs w:val="24"/>
                <w:highlight w:val="none"/>
              </w:rPr>
            </w:pPr>
          </w:p>
        </w:tc>
        <w:tc>
          <w:tcPr>
            <w:tcW w:w="8410" w:type="dxa"/>
            <w:noWrap w:val="0"/>
            <w:vAlign w:val="center"/>
          </w:tcPr>
          <w:p w14:paraId="6AACE422">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51A1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2F26AEE1">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410" w:type="dxa"/>
            <w:noWrap w:val="0"/>
            <w:vAlign w:val="center"/>
          </w:tcPr>
          <w:p w14:paraId="65327805">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tc>
      </w:tr>
      <w:tr w14:paraId="379D1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647E625B">
            <w:pPr>
              <w:pStyle w:val="3"/>
              <w:jc w:val="center"/>
              <w:rPr>
                <w:rFonts w:hint="eastAsia" w:ascii="宋体" w:hAnsi="宋体" w:eastAsia="宋体" w:cs="宋体"/>
                <w:sz w:val="24"/>
                <w:szCs w:val="24"/>
                <w:highlight w:val="none"/>
              </w:rPr>
            </w:pPr>
          </w:p>
        </w:tc>
        <w:tc>
          <w:tcPr>
            <w:tcW w:w="8410" w:type="dxa"/>
            <w:noWrap w:val="0"/>
            <w:vAlign w:val="center"/>
          </w:tcPr>
          <w:p w14:paraId="2616CA53">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乙方地址：</w:t>
            </w:r>
          </w:p>
        </w:tc>
      </w:tr>
      <w:tr w14:paraId="726B6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2C7F7939">
            <w:pPr>
              <w:pStyle w:val="3"/>
              <w:jc w:val="center"/>
              <w:rPr>
                <w:rFonts w:hint="eastAsia" w:ascii="宋体" w:hAnsi="宋体" w:eastAsia="宋体" w:cs="宋体"/>
                <w:sz w:val="24"/>
                <w:szCs w:val="24"/>
                <w:highlight w:val="none"/>
              </w:rPr>
            </w:pPr>
          </w:p>
        </w:tc>
        <w:tc>
          <w:tcPr>
            <w:tcW w:w="8410" w:type="dxa"/>
            <w:noWrap w:val="0"/>
            <w:vAlign w:val="center"/>
          </w:tcPr>
          <w:p w14:paraId="60EC0698">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3309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2BD48CFB">
            <w:pPr>
              <w:pStyle w:val="3"/>
              <w:jc w:val="center"/>
              <w:rPr>
                <w:rFonts w:hint="eastAsia" w:ascii="宋体" w:hAnsi="宋体" w:eastAsia="宋体" w:cs="宋体"/>
                <w:sz w:val="24"/>
                <w:szCs w:val="24"/>
                <w:highlight w:val="none"/>
              </w:rPr>
            </w:pPr>
          </w:p>
        </w:tc>
        <w:tc>
          <w:tcPr>
            <w:tcW w:w="8410" w:type="dxa"/>
            <w:noWrap w:val="0"/>
            <w:vAlign w:val="center"/>
          </w:tcPr>
          <w:p w14:paraId="0B9FDF47">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乙方开户银行名称：</w:t>
            </w:r>
          </w:p>
          <w:p w14:paraId="2F37CB1E">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657A7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49058C57">
            <w:pPr>
              <w:pStyle w:val="3"/>
              <w:jc w:val="center"/>
              <w:rPr>
                <w:rFonts w:hint="eastAsia"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4</w:t>
            </w:r>
          </w:p>
        </w:tc>
        <w:tc>
          <w:tcPr>
            <w:tcW w:w="8410" w:type="dxa"/>
            <w:noWrap w:val="0"/>
            <w:vAlign w:val="center"/>
          </w:tcPr>
          <w:p w14:paraId="0066DFE7">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r>
      <w:tr w14:paraId="7B8C2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5FCCACEA">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w:t>
            </w:r>
          </w:p>
        </w:tc>
        <w:tc>
          <w:tcPr>
            <w:tcW w:w="8410" w:type="dxa"/>
            <w:noWrap w:val="0"/>
            <w:vAlign w:val="center"/>
          </w:tcPr>
          <w:p w14:paraId="524641EE">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w:t>
            </w:r>
            <w:r>
              <w:rPr>
                <w:rFonts w:hint="eastAsia" w:hAnsi="宋体" w:eastAsia="宋体" w:cs="宋体"/>
                <w:sz w:val="24"/>
                <w:szCs w:val="24"/>
                <w:highlight w:val="none"/>
                <w:lang w:val="en-US" w:eastAsia="zh-CN"/>
              </w:rPr>
              <w:t>务</w:t>
            </w:r>
            <w:r>
              <w:rPr>
                <w:rFonts w:hint="eastAsia" w:ascii="宋体" w:hAnsi="宋体" w:eastAsia="宋体" w:cs="宋体"/>
                <w:sz w:val="24"/>
                <w:szCs w:val="24"/>
                <w:highlight w:val="none"/>
              </w:rPr>
              <w:t>地点：采购人指定地点</w:t>
            </w:r>
          </w:p>
        </w:tc>
      </w:tr>
      <w:tr w14:paraId="4552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5E488E17">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6</w:t>
            </w:r>
          </w:p>
        </w:tc>
        <w:tc>
          <w:tcPr>
            <w:tcW w:w="8410" w:type="dxa"/>
            <w:noWrap w:val="0"/>
            <w:vAlign w:val="center"/>
          </w:tcPr>
          <w:p w14:paraId="50D72CE5">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r>
      <w:tr w14:paraId="0B40E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5D8517D2">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7</w:t>
            </w:r>
          </w:p>
        </w:tc>
        <w:tc>
          <w:tcPr>
            <w:tcW w:w="8410" w:type="dxa"/>
            <w:noWrap w:val="0"/>
            <w:vAlign w:val="center"/>
          </w:tcPr>
          <w:p w14:paraId="58B75368">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验收方式及标准：</w:t>
            </w:r>
          </w:p>
        </w:tc>
      </w:tr>
      <w:tr w14:paraId="41F20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76" w:type="dxa"/>
            <w:noWrap w:val="0"/>
            <w:vAlign w:val="center"/>
          </w:tcPr>
          <w:p w14:paraId="2081F986">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8</w:t>
            </w:r>
          </w:p>
        </w:tc>
        <w:tc>
          <w:tcPr>
            <w:tcW w:w="8410" w:type="dxa"/>
            <w:noWrap w:val="0"/>
            <w:vAlign w:val="center"/>
          </w:tcPr>
          <w:p w14:paraId="7937BB40">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r>
      <w:tr w14:paraId="1292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B462FEE">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9</w:t>
            </w:r>
          </w:p>
        </w:tc>
        <w:tc>
          <w:tcPr>
            <w:tcW w:w="8410" w:type="dxa"/>
            <w:noWrap w:val="0"/>
            <w:vAlign w:val="center"/>
          </w:tcPr>
          <w:p w14:paraId="1F4AE0D8">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□违约金约定：</w:t>
            </w:r>
          </w:p>
          <w:p w14:paraId="7B9B7CF5">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□损失赔偿约定：</w:t>
            </w:r>
          </w:p>
        </w:tc>
      </w:tr>
      <w:tr w14:paraId="69FDB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7887F46D">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p>
        </w:tc>
        <w:tc>
          <w:tcPr>
            <w:tcW w:w="8410" w:type="dxa"/>
            <w:noWrap w:val="0"/>
            <w:vAlign w:val="center"/>
          </w:tcPr>
          <w:p w14:paraId="5E6F831F">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合同履行期限：自合同生效之日起至合同全部权利义务履行完毕之日止。</w:t>
            </w:r>
          </w:p>
        </w:tc>
      </w:tr>
      <w:tr w14:paraId="0BAE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32BF4119">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p>
        </w:tc>
        <w:tc>
          <w:tcPr>
            <w:tcW w:w="8410" w:type="dxa"/>
            <w:noWrap w:val="0"/>
            <w:vAlign w:val="center"/>
          </w:tcPr>
          <w:p w14:paraId="39C3CE30">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合同纠纷的解决方式：</w:t>
            </w:r>
          </w:p>
          <w:p w14:paraId="788D5A5C">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首先通过双方协商解决，协商解决不成，则通过以下途径之一解决纠纷(请在方框内画“√”选择)：</w:t>
            </w:r>
          </w:p>
          <w:p w14:paraId="110A033F">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□提请______仲裁委员会按照仲裁程序在______(仲裁地)仲裁</w:t>
            </w:r>
          </w:p>
          <w:p w14:paraId="2A3F7508">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□向甲方所在地人民法院提起诉讼</w:t>
            </w:r>
          </w:p>
        </w:tc>
      </w:tr>
    </w:tbl>
    <w:p w14:paraId="5DB040E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1.定义</w:t>
      </w:r>
    </w:p>
    <w:p w14:paraId="7CAAEF4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本合同下列术语应解释为：</w:t>
      </w:r>
    </w:p>
    <w:p w14:paraId="7420543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　“甲方”是指采购人。</w:t>
      </w:r>
    </w:p>
    <w:p w14:paraId="3DF2F98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　“乙方”是指</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w:t>
      </w:r>
    </w:p>
    <w:p w14:paraId="6036B45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　“合同”系指甲乙双方签署的、合同中载明的甲乙双方所达成的协议，包括所有的附件、附录和上述文件所提到的构成合同的所有文件。</w:t>
      </w:r>
    </w:p>
    <w:p w14:paraId="0312DDB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　“服务”是指乙方按照文件要求，向采购人提供的技术支持服务。</w:t>
      </w:r>
    </w:p>
    <w:p w14:paraId="4DFF9A2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　“天”除非特别指出，“天”均为自然天。</w:t>
      </w:r>
    </w:p>
    <w:p w14:paraId="5C6E842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2.服务标准</w:t>
      </w:r>
    </w:p>
    <w:p w14:paraId="786C49B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　乙方为甲方交付的服务应符合</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文件所述的内容，如果没有提及适用标准，则应符合相应的国家标准。这些标准必须是有关机构发布的最新版本的标准。</w:t>
      </w:r>
    </w:p>
    <w:p w14:paraId="35FEB6A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除非技术要求中另有规定，计量单位均采用中华人民共和国法定计量单位。</w:t>
      </w:r>
    </w:p>
    <w:p w14:paraId="42FEABC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3.服务</w:t>
      </w:r>
    </w:p>
    <w:p w14:paraId="321F183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乙方应按照合同的规定，提供下列服务甲方提供符合要求的服务。</w:t>
      </w:r>
    </w:p>
    <w:p w14:paraId="17F95C6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4.知识产权</w:t>
      </w:r>
    </w:p>
    <w:p w14:paraId="4DE1781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乙方应保证所提供的服务免受第三方提出侵犯其知识产权(专利权、商标权、版权等)的起诉。因侵害他人知识产权而产生的法律责任，全部由</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承担。</w:t>
      </w:r>
    </w:p>
    <w:p w14:paraId="0F2E051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甲方委托乙方开发的产品，甲方享有知识产权，未经甲方许可不得转让任何第三人。</w:t>
      </w:r>
    </w:p>
    <w:p w14:paraId="5725236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5.保密条款</w:t>
      </w:r>
    </w:p>
    <w:p w14:paraId="2AF56F6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　甲乙双方应对在本合同签订或履行过程中所接触的对方信息，包括但不限于知识产权、技术资料、技术诀窍、内部管理及其他相关信息，负有保密义务。</w:t>
      </w:r>
    </w:p>
    <w:p w14:paraId="779D32F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C9AC17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(1)应以审慎态度避免泄露、公开或传播甲方的信息；</w:t>
      </w:r>
    </w:p>
    <w:p w14:paraId="6E77F5B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(2)未经甲方书面许可，不得对有关信息进行修改、补充、复制；</w:t>
      </w:r>
    </w:p>
    <w:p w14:paraId="0D53E4C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(3)未经甲方书面许可，不得将信息以任何方式(如E－mail)携带出甲方场所；</w:t>
      </w:r>
    </w:p>
    <w:p w14:paraId="11C6D4F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(4)未经甲方书面许可，不得将信息透露给任何其他人；</w:t>
      </w:r>
    </w:p>
    <w:p w14:paraId="3E8C0DC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(5)甲方以书面形式提出的其他保密措施。</w:t>
      </w:r>
    </w:p>
    <w:p w14:paraId="3FEE662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保密期限不受合同有效期的限制，在合同有效期结束后，信息接受方仍应承担保密义务，直至该等信息成为公开信息。</w:t>
      </w:r>
    </w:p>
    <w:p w14:paraId="288A13F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　甲乙双方如出现泄密行为，泄密方应承担相关的法律责任，包括但是不限于对由此给对方造成的经济损失进行赔偿。</w:t>
      </w:r>
    </w:p>
    <w:p w14:paraId="7E3E93D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6.服务质量保证</w:t>
      </w:r>
    </w:p>
    <w:p w14:paraId="13CE5C7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15DF52D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　乙方应保证通过执行合同中全部方案后，可以取得本合同规定的结果，达到本合同规定的预期目标。对任何情况下出现问题的，应尽快提出解决方案。</w:t>
      </w:r>
    </w:p>
    <w:p w14:paraId="16CB5E3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　如果乙方提供的服务和解决方案不符合甲方要求，或在规定的时间内没有弥补缺陷，甲方有权采取一切必要的补救措施，由此产生的费用全部由乙方负责。</w:t>
      </w:r>
    </w:p>
    <w:p w14:paraId="67FCF6E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.服务时间、地点与验收</w:t>
      </w:r>
    </w:p>
    <w:p w14:paraId="17F5F3A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服务地点：合同条款前附表指定地点。</w:t>
      </w:r>
    </w:p>
    <w:p w14:paraId="4C4F23B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服务时间：合同条款前附表指定时间。</w:t>
      </w:r>
    </w:p>
    <w:p w14:paraId="0F44EEE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.3　甲方应在乙方完成相关服务工作后及时对服务质量、技术指标、服务成果进行验收。</w:t>
      </w:r>
    </w:p>
    <w:p w14:paraId="6D6C587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.违约责任</w:t>
      </w:r>
    </w:p>
    <w:p w14:paraId="05A6F56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.1　服务缺陷的补救措施和索赔</w:t>
      </w:r>
    </w:p>
    <w:p w14:paraId="4A7CF69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(1)如果乙方提供的服务不符合本合同约定以及</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w:t>
      </w:r>
      <w:r>
        <w:rPr>
          <w:rFonts w:hint="eastAsia" w:hAnsi="宋体" w:eastAsia="宋体" w:cs="宋体"/>
          <w:sz w:val="24"/>
          <w:szCs w:val="24"/>
          <w:highlight w:val="none"/>
          <w:lang w:eastAsia="zh-CN"/>
        </w:rPr>
        <w:t>响应</w:t>
      </w:r>
      <w:r>
        <w:rPr>
          <w:rFonts w:hint="eastAsia" w:ascii="宋体" w:hAnsi="宋体" w:eastAsia="宋体" w:cs="宋体"/>
          <w:sz w:val="24"/>
          <w:szCs w:val="24"/>
          <w:highlight w:val="none"/>
        </w:rPr>
        <w:t>文件关于服务的要求和承诺，乙方应按照甲方同意的下列一种或几种方式结合起来解决索赔事宜：</w:t>
      </w:r>
    </w:p>
    <w:p w14:paraId="5D35B26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45F7A93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②根据服务的质量状况以及甲方所遭受的损失，经过甲乙双方商定降低服务的价格。</w:t>
      </w:r>
    </w:p>
    <w:p w14:paraId="42521F0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699E6BC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.2　迟延履约的违约责任</w:t>
      </w:r>
    </w:p>
    <w:p w14:paraId="23D8BA9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(1)乙方应按照本合同规定的时间、地点提供服务。</w:t>
      </w:r>
    </w:p>
    <w:p w14:paraId="0D430B9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1EF371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909180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45C48C2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.3　未履行合同义务的违约责任</w:t>
      </w:r>
    </w:p>
    <w:p w14:paraId="0514A4B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(1)守约方有权终止全部或部分合同。</w:t>
      </w:r>
    </w:p>
    <w:p w14:paraId="589882C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)由违约一方支付违约金，违约金标准见合同条款前附表(各单位可根据实际情况自行约定)。</w:t>
      </w:r>
    </w:p>
    <w:p w14:paraId="58BDC82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)违约金不足以弥补守约方实际损失、可预见或者应当预见的损失，由违约方全额予以赔偿。</w:t>
      </w:r>
    </w:p>
    <w:p w14:paraId="22B1DD9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.不可抗力</w:t>
      </w:r>
    </w:p>
    <w:p w14:paraId="2AC1E6B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　如果合同双方因不可抗力而导致合同实施延误或合同无法实施，不应该承担误期赔偿或不能履行合同义务的责任。</w:t>
      </w:r>
    </w:p>
    <w:p w14:paraId="28BDCA5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.2　本条所述的“不可抗力”系指那些双方不可预见、不可避免、不可克服的客观情况，但不包括双方的违约或疏忽。这些事件包括但不限于：战争、严重火灾、洪水、台风、地震等。</w:t>
      </w:r>
    </w:p>
    <w:p w14:paraId="1F4FF58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350189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.合同纠纷的解决方式</w:t>
      </w:r>
    </w:p>
    <w:p w14:paraId="798A79D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.1　合同各方应通过友好协商，解决在执行合同过程中所发生的或与合同有关的一切争端。如协商30日内(根据实际情况设定)不能解决，可以按合同规定的方式提起仲裁或诉讼。</w:t>
      </w:r>
    </w:p>
    <w:p w14:paraId="0EB3ED7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.2　仲裁裁决应为最终裁决，对双方均具有约束力。</w:t>
      </w:r>
    </w:p>
    <w:p w14:paraId="779A027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.3　仲裁费除仲裁机关另有裁决外应由败诉方负担。</w:t>
      </w:r>
    </w:p>
    <w:p w14:paraId="22C2FFF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.4　</w:t>
      </w:r>
      <w:bookmarkStart w:id="0" w:name="_Hlk535772996"/>
      <w:r>
        <w:rPr>
          <w:rFonts w:hint="eastAsia" w:ascii="宋体" w:hAnsi="宋体" w:eastAsia="宋体" w:cs="宋体"/>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0"/>
    </w:p>
    <w:p w14:paraId="789285C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.5　如仲裁或诉讼事项不影响合同其他部分的履行，则在仲裁或诉讼期间，除正在进行仲裁或诉讼的部分外，合同的其他部分应继续执行。</w:t>
      </w:r>
    </w:p>
    <w:p w14:paraId="460C0D9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.合同修改或变更</w:t>
      </w:r>
    </w:p>
    <w:p w14:paraId="5970858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.1　如无重大变故，甲方双方不得擅自变更合同。</w:t>
      </w:r>
    </w:p>
    <w:p w14:paraId="60400DF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.2　如确需变更合同，甲乙双方应签署书面变更协议。变更协议为本合同不可分割的一部分。</w:t>
      </w:r>
    </w:p>
    <w:p w14:paraId="2CBDF53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.3　在不改变合同其他条款的前提下，甲方有权在合同价款10%的范围内追加与合同标的相同的货物或服务，并就此与乙方签订补充合同，乙方不得拒绝。</w:t>
      </w:r>
    </w:p>
    <w:p w14:paraId="7267764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.合同中止</w:t>
      </w:r>
    </w:p>
    <w:p w14:paraId="0D7FB37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.1合同在履行过程中，因采购计划调整，甲方可以要求中止履行，待计划确定后继续履行；合同履行过程中因</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就采购过程或结果提起投诉的，甲方认为有必要或财政部责令中止的，应当中止合同的履行。</w:t>
      </w:r>
    </w:p>
    <w:p w14:paraId="210149F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.终止合同</w:t>
      </w:r>
    </w:p>
    <w:p w14:paraId="1CBA786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　若出现如下情况，在甲方对乙方违约行为而采取的任何补救措施不受影响的情况下，甲方可向乙方发出书面通知书，提出终止部分或全部合同。</w:t>
      </w:r>
    </w:p>
    <w:p w14:paraId="34B51E6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.1.1　如果乙方未能在合同规定的期限或甲方同意延长的期限内提供服务；</w:t>
      </w:r>
    </w:p>
    <w:p w14:paraId="10E9B41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.1.2　因乙方技术人员自身技术能力、经验不足等原因造成甲方硬件设备、应用系统发生重大紧急故障或应用系统数据丢失，带来重大影响和损失的；</w:t>
      </w:r>
    </w:p>
    <w:p w14:paraId="64E87D6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.1.3　乙方对甲方硬件设备、应用系统重大紧急故障没有及时响应，或不能在规定时间内解决处理故障，恢复系统正常运行的；</w:t>
      </w:r>
    </w:p>
    <w:p w14:paraId="656929C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.1.4　不能满足本项目技术需求的管理要求和规范，且经多次整改无明显改进的；</w:t>
      </w:r>
    </w:p>
    <w:p w14:paraId="0CA0448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.1.5　在合同规定的每个服务年度(12个自然月)内，在运行维护支持服务过程中，出现2次经甲乙双方确认的违规操作的。</w:t>
      </w:r>
    </w:p>
    <w:p w14:paraId="5F7B949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.2　如果甲方根据上述第1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.1条的规定，终止了全部或部分合同，甲方可以适当的条件和方法购买乙方未能提供的服务，乙方应对甲方购买类似服务所超出的费用负责。同时，乙方应继续执行合同中未终止的部分。</w:t>
      </w:r>
    </w:p>
    <w:p w14:paraId="6BE11EC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.破产终止合同</w:t>
      </w:r>
    </w:p>
    <w:p w14:paraId="2674DAD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.1　如果乙方破产或无清偿能力，甲方可在任何时候以书面形式通知乙方终止合同而不给乙方补偿。</w:t>
      </w:r>
    </w:p>
    <w:p w14:paraId="52B868F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.2　该终止行为将不损害或影响甲方已经采取或将要采取的任何行动或补救措施的权利。</w:t>
      </w:r>
    </w:p>
    <w:p w14:paraId="579734F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.合同转让和分包</w:t>
      </w:r>
    </w:p>
    <w:p w14:paraId="7D79016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.1　乙方不得以任何形式将合同转包，或部分或全部转让其应履行的合同义务。</w:t>
      </w:r>
    </w:p>
    <w:p w14:paraId="3F6D388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.2　除经甲方事先书面同意外，乙方不得以任何形式将合同分包。</w:t>
      </w:r>
    </w:p>
    <w:p w14:paraId="0C4A2D2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.适用法律</w:t>
      </w:r>
    </w:p>
    <w:p w14:paraId="2A2AE5D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.1　本合同适用中华人民共和国现行法律、行政法规和规章，如合同条款与法律、行政法规和规章不一致的，按照法律、行政法规和规章修改本合同。</w:t>
      </w:r>
    </w:p>
    <w:p w14:paraId="5BA0FD2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.合同语言</w:t>
      </w:r>
    </w:p>
    <w:p w14:paraId="4C13C29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本合同语言为中文。</w:t>
      </w:r>
    </w:p>
    <w:p w14:paraId="002F174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双方交换的与合同有关的信件和其他文件应用合同语言书写。</w:t>
      </w:r>
    </w:p>
    <w:p w14:paraId="247D172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.合同生效</w:t>
      </w:r>
    </w:p>
    <w:p w14:paraId="627F5DC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.1　本合同应在双方签字盖章后生效。</w:t>
      </w:r>
    </w:p>
    <w:p w14:paraId="731C98A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.合同效力</w:t>
      </w:r>
    </w:p>
    <w:p w14:paraId="15E2F50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.1　</w:t>
      </w:r>
      <w:bookmarkStart w:id="1" w:name="_Hlk535773071"/>
      <w:r>
        <w:rPr>
          <w:rFonts w:hint="eastAsia" w:ascii="宋体" w:hAnsi="宋体" w:eastAsia="宋体" w:cs="宋体"/>
          <w:sz w:val="24"/>
          <w:szCs w:val="24"/>
          <w:highlight w:val="none"/>
        </w:rPr>
        <w:t>除本合同和甲乙双方书面签署的补充协议外，其他任何形式的双方约定和往来函件均不具有法律效力，对本项目无约束力。</w:t>
      </w:r>
    </w:p>
    <w:bookmarkEnd w:id="1"/>
    <w:p w14:paraId="282B12F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.检查和审计</w:t>
      </w:r>
    </w:p>
    <w:p w14:paraId="72F089E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1在本合同的履行过程中，甲方有权对乙方的合同履约情况进行阶段性检查，并对乙方投标时提供的相关资料进行复核。</w:t>
      </w:r>
    </w:p>
    <w:p w14:paraId="674CE896">
      <w:pPr>
        <w:keepNext w:val="0"/>
        <w:keepLines w:val="0"/>
        <w:pageBreakBefore w:val="0"/>
        <w:widowControl w:val="0"/>
        <w:kinsoku/>
        <w:wordWrap/>
        <w:overflowPunct/>
        <w:topLinePunct w:val="0"/>
        <w:autoSpaceDE/>
        <w:autoSpaceDN/>
        <w:bidi w:val="0"/>
        <w:adjustRightInd/>
        <w:snapToGrid/>
        <w:spacing w:line="336" w:lineRule="auto"/>
        <w:ind w:firstLine="480" w:firstLineChars="200"/>
        <w:jc w:val="left"/>
        <w:textAlignment w:val="auto"/>
        <w:rPr>
          <w:highlight w:val="none"/>
        </w:rPr>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54A3CF9B">
      <w:pPr>
        <w:spacing w:line="360" w:lineRule="auto"/>
        <w:rPr>
          <w:rFonts w:ascii="Lucida Sans Unicode" w:hAnsi="Lucida Sans Unicode" w:eastAsia="Lucida Sans Unicode" w:cs="Lucida Sans Unicode"/>
          <w:spacing w:val="0"/>
          <w:w w:val="100"/>
          <w:sz w:val="24"/>
          <w:szCs w:val="24"/>
          <w:highlight w:val="none"/>
        </w:rPr>
      </w:pPr>
    </w:p>
    <w:p w14:paraId="5D8E7F09">
      <w:bookmarkStart w:id="2" w:name="_GoBack"/>
      <w:bookmarkEnd w:id="2"/>
    </w:p>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42FE5"/>
    <w:rsid w:val="33642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2025-06-19T07:29:00Z</dcterms:created>
  <dc:creator>范炳辰</dc:creator>
  <cp:lastModifiedBy>范炳辰</cp:lastModifiedBy>
  <dcterms:modified xsi:type="dcterms:W3CDTF">2025-06-19T07:30:13Z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993330860FBA4794AEA335DEB8FA32C3_11</vt:lpwstr>
  </property>
  <property fmtid="{D5CDD505-2E9C-101B-9397-08002B2CF9AE}" pid="4" name="KSOTemplateDocerSaveRecord">
    <vt:lpwstr>eyJoZGlkIjoiNTRmZmQwMzJkMGRjZDRjM2ZhNGQ0NzgxNGRhMjA2OTYiLCJ1c2VySWQiOiIxNjk2ODQ2MjYwIn0=</vt:lpwstr>
  </property>
</Properties>
</file>