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版本号：ZX2025-06-1520250619001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陕西省商保一站式结算系统运维</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ZX2025-06-15</w:t>
      </w:r>
      <w:r>
        <w:br/>
      </w:r>
      <w:r>
        <w:br/>
      </w:r>
      <w:r>
        <w:br/>
      </w:r>
    </w:p>
    <w:p>
      <w:pPr>
        <w:pStyle w:val="null3"/>
        <w:jc w:val="center"/>
        <w:outlineLvl w:val="2"/>
      </w:pPr>
      <w:r>
        <w:rPr>
          <w:rFonts w:ascii="仿宋_GB2312" w:hAnsi="仿宋_GB2312" w:cs="仿宋_GB2312" w:eastAsia="仿宋_GB2312"/>
          <w:sz w:val="28"/>
          <w:b/>
        </w:rPr>
        <w:t>陕西省卫生健康信息中心</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陕西省卫生健康信息中心</w:t>
      </w:r>
      <w:r>
        <w:rPr>
          <w:rFonts w:ascii="仿宋_GB2312" w:hAnsi="仿宋_GB2312" w:cs="仿宋_GB2312" w:eastAsia="仿宋_GB2312"/>
        </w:rPr>
        <w:t>委托，拟对</w:t>
      </w:r>
      <w:r>
        <w:rPr>
          <w:rFonts w:ascii="仿宋_GB2312" w:hAnsi="仿宋_GB2312" w:cs="仿宋_GB2312" w:eastAsia="仿宋_GB2312"/>
        </w:rPr>
        <w:t>陕西省商保一站式结算系统运维</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ZX2025-06-15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陕西省商保一站式结算系统运维</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陕西省商保一站式结算系统运维项目，1项，具体内容详见磋商文件第3章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采购包1（陕西省商保一站式结算系统运维）：属于专门面向中小企业采购。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1、法定代表人授权委托书：法定代表人授权委托书：法定代表人参加磋商的，须提供法定代表人身份证复印件；法定代表人授权本单位他人参加磋商的，须提供法定代表人授权委托书。</w:t>
      </w:r>
    </w:p>
    <w:p>
      <w:pPr>
        <w:pStyle w:val="null3"/>
      </w:pPr>
      <w:r>
        <w:rPr>
          <w:rFonts w:ascii="仿宋_GB2312" w:hAnsi="仿宋_GB2312" w:cs="仿宋_GB2312" w:eastAsia="仿宋_GB2312"/>
        </w:rPr>
        <w:t>2、不接受联合体磋商，不允许分包：本项目不接受联合体磋商，不允许分包。供应商应提供《非联合体不分包投标声明》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陕西省卫生健康信息中心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西安市莲湖区莲湖路112号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陕西省卫生健康信息中心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13572251701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周楚杰 王琦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采购包1保证金金额：7,006.15元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陕西省卫生健康信息中心</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陕西省卫生健康信息中心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陕西省卫生健康信息中心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联系人：王琦 孙童欣</w:t>
      </w:r>
    </w:p>
    <w:p>
      <w:pPr>
        <w:pStyle w:val="null3"/>
      </w:pPr>
      <w:r>
        <w:rPr>
          <w:rFonts w:ascii="仿宋_GB2312" w:hAnsi="仿宋_GB2312" w:cs="仿宋_GB2312" w:eastAsia="仿宋_GB2312"/>
        </w:rPr>
        <w:t>联系电话：029-88110800转8029（532772190@qq.com）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陕西省商保一站式结算系统运维项目，1项，具体内容详见磋商文件第3章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商保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标的名称：商保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pPr>
            <w:r>
              <w:rPr>
                <w:rFonts w:ascii="仿宋_GB2312" w:hAnsi="仿宋_GB2312" w:cs="仿宋_GB2312" w:eastAsia="仿宋_GB2312"/>
                <w:sz w:val="20"/>
              </w:rPr>
              <w:t>一、项目概述</w:t>
            </w:r>
          </w:p>
          <w:p>
            <w:pPr>
              <w:pStyle w:val="null3"/>
              <w:ind w:firstLine="400"/>
            </w:pPr>
            <w:r>
              <w:rPr>
                <w:rFonts w:ascii="仿宋_GB2312" w:hAnsi="仿宋_GB2312" w:cs="仿宋_GB2312" w:eastAsia="仿宋_GB2312"/>
                <w:sz w:val="20"/>
              </w:rPr>
              <w:t>2023年12月，国家卫健委、财政部、金融监管局、中医药管理局和疾控局联合印发《全国医疗卫生机构信息互通共享三年攻坚行动方案（2023-2025）》的通知（国卫办规划发[2023]19号），明确提出2025年12月前二级以上公立医院全面开展商保就医费用一站式结算服务。根据2024年7月2日，陕西省卫生健康委等6部门《关于印发&lt;陕西省医疗卫生机构信息互通共享攻坚行动实施方案&gt;的通知》(陕卫信息发〔2024]37号)，明确进一步加快推进陕西省商业健康险就医费用一站式结算服务平台，实现患者出院实时结算，优化医疗机构医疗服务流程，改善居民就医结算体验，提升医疗综合服务水平。</w:t>
            </w:r>
          </w:p>
          <w:p>
            <w:pPr>
              <w:pStyle w:val="null3"/>
              <w:ind w:firstLine="400"/>
            </w:pPr>
            <w:r>
              <w:rPr>
                <w:rFonts w:ascii="仿宋_GB2312" w:hAnsi="仿宋_GB2312" w:cs="仿宋_GB2312" w:eastAsia="仿宋_GB2312"/>
                <w:sz w:val="20"/>
              </w:rPr>
              <w:t>二、项目目标</w:t>
            </w:r>
          </w:p>
          <w:p>
            <w:pPr>
              <w:pStyle w:val="null3"/>
              <w:ind w:firstLine="400"/>
            </w:pPr>
            <w:r>
              <w:rPr>
                <w:rFonts w:ascii="仿宋_GB2312" w:hAnsi="仿宋_GB2312" w:cs="仿宋_GB2312" w:eastAsia="仿宋_GB2312"/>
                <w:sz w:val="20"/>
              </w:rPr>
              <w:t>运维陕西省商业健康险就医费用一站式结算平台实现平台功能，平台功能包括商业保险理赔结算、反欺诈调查等功能，实现医疗机构与保险机构、保险服务、保险科技机构、金融服务机构的系统对接，并支持在线医疗费用审核、理赔数据传输与核对、保险理赔款项的对账与在线结算、反欺诈调查等业务的开展，为患者提供方便快捷的</w:t>
            </w:r>
            <w:r>
              <w:rPr>
                <w:rFonts w:ascii="仿宋_GB2312" w:hAnsi="仿宋_GB2312" w:cs="仿宋_GB2312" w:eastAsia="仿宋_GB2312"/>
                <w:sz w:val="20"/>
              </w:rPr>
              <w:t>“一站式”支付服务，实现商保患者出院结算时，直接完成商保理赔结算，患者无需垫付理赔资金，提高商保患者理赔效率，满足患者便捷高效就医需求，改善患者理赔体验，提高患者就医满意度，提升“互联网＋便民惠民”服务能力。</w:t>
            </w:r>
          </w:p>
          <w:p>
            <w:pPr>
              <w:pStyle w:val="null3"/>
              <w:ind w:firstLine="400"/>
            </w:pPr>
            <w:r>
              <w:rPr>
                <w:rFonts w:ascii="仿宋_GB2312" w:hAnsi="仿宋_GB2312" w:cs="仿宋_GB2312" w:eastAsia="仿宋_GB2312"/>
                <w:sz w:val="20"/>
              </w:rPr>
              <w:t>三、项目运维内容</w:t>
            </w:r>
          </w:p>
          <w:p>
            <w:pPr>
              <w:pStyle w:val="null3"/>
              <w:ind w:firstLine="400"/>
            </w:pPr>
            <w:r>
              <w:rPr>
                <w:rFonts w:ascii="仿宋_GB2312" w:hAnsi="仿宋_GB2312" w:cs="仿宋_GB2312" w:eastAsia="仿宋_GB2312"/>
                <w:sz w:val="20"/>
              </w:rPr>
              <w:t>在充分遵守国家有关法律、法规的前提下，运营维护</w:t>
            </w:r>
            <w:r>
              <w:rPr>
                <w:rFonts w:ascii="仿宋_GB2312" w:hAnsi="仿宋_GB2312" w:cs="仿宋_GB2312" w:eastAsia="仿宋_GB2312"/>
                <w:sz w:val="20"/>
              </w:rPr>
              <w:t>“互联网+商业保险”为核心的陕西省商业健康险就医费用一站式结算平台，实现患者出院实时结算，真正实现“医保+商保+个人”一站式结算，为商保患者解决理赔难、报销慢、手续繁的痛点，节省时间，提高效率，减轻就医经济负担，提高商保患者满意度。有效提升“医疗+保险”主动服务人民群众的能力，增强人民群众的获得感、幸福感。</w:t>
            </w:r>
          </w:p>
          <w:p>
            <w:pPr>
              <w:pStyle w:val="null3"/>
              <w:ind w:firstLine="400"/>
            </w:pPr>
            <w:r>
              <w:rPr>
                <w:rFonts w:ascii="仿宋_GB2312" w:hAnsi="仿宋_GB2312" w:cs="仿宋_GB2312" w:eastAsia="仿宋_GB2312"/>
                <w:sz w:val="20"/>
              </w:rPr>
              <w:t>3.1项目运维要求</w:t>
            </w:r>
          </w:p>
          <w:p>
            <w:pPr>
              <w:pStyle w:val="null3"/>
              <w:ind w:firstLine="400"/>
            </w:pPr>
            <w:r>
              <w:rPr>
                <w:rFonts w:ascii="仿宋_GB2312" w:hAnsi="仿宋_GB2312" w:cs="仿宋_GB2312" w:eastAsia="仿宋_GB2312"/>
                <w:sz w:val="20"/>
              </w:rPr>
              <w:t>3.1.1平台架构要求</w:t>
            </w:r>
          </w:p>
          <w:p>
            <w:pPr>
              <w:pStyle w:val="null3"/>
              <w:ind w:firstLine="400"/>
            </w:pPr>
            <w:r>
              <w:rPr>
                <w:rFonts w:ascii="仿宋_GB2312" w:hAnsi="仿宋_GB2312" w:cs="仿宋_GB2312" w:eastAsia="仿宋_GB2312"/>
                <w:sz w:val="20"/>
              </w:rPr>
              <w:t>平台分为四层结构，分别为数据接入层、数据治理层、健康服务层、服务应用层。</w:t>
            </w:r>
          </w:p>
          <w:p>
            <w:pPr>
              <w:pStyle w:val="null3"/>
              <w:ind w:firstLine="400"/>
            </w:pPr>
            <w:r>
              <w:rPr>
                <w:rFonts w:ascii="仿宋_GB2312" w:hAnsi="仿宋_GB2312" w:cs="仿宋_GB2312" w:eastAsia="仿宋_GB2312"/>
                <w:sz w:val="20"/>
              </w:rPr>
              <w:t>数据接入层：用于接入医疗机构；</w:t>
            </w:r>
          </w:p>
          <w:p>
            <w:pPr>
              <w:pStyle w:val="null3"/>
              <w:ind w:firstLine="400"/>
            </w:pPr>
            <w:r>
              <w:rPr>
                <w:rFonts w:ascii="仿宋_GB2312" w:hAnsi="仿宋_GB2312" w:cs="仿宋_GB2312" w:eastAsia="仿宋_GB2312"/>
                <w:sz w:val="20"/>
              </w:rPr>
              <w:t>数据治理层：用于适配不同的接入方式，统一标准化接入数据；</w:t>
            </w:r>
          </w:p>
          <w:p>
            <w:pPr>
              <w:pStyle w:val="null3"/>
              <w:ind w:firstLine="400"/>
            </w:pPr>
            <w:r>
              <w:rPr>
                <w:rFonts w:ascii="仿宋_GB2312" w:hAnsi="仿宋_GB2312" w:cs="仿宋_GB2312" w:eastAsia="仿宋_GB2312"/>
                <w:sz w:val="20"/>
              </w:rPr>
              <w:t>健康服务层：商保直赔核心业务流程；</w:t>
            </w:r>
          </w:p>
          <w:p>
            <w:pPr>
              <w:pStyle w:val="null3"/>
              <w:ind w:firstLine="400"/>
            </w:pPr>
            <w:r>
              <w:rPr>
                <w:rFonts w:ascii="仿宋_GB2312" w:hAnsi="仿宋_GB2312" w:cs="仿宋_GB2312" w:eastAsia="仿宋_GB2312"/>
                <w:sz w:val="20"/>
              </w:rPr>
              <w:t>服务应用层：提供用户端，医疗机构，保险公司的接入服务，为商保直赔系统的对外输出层。</w:t>
            </w:r>
          </w:p>
          <w:p>
            <w:pPr>
              <w:pStyle w:val="null3"/>
              <w:ind w:firstLine="400"/>
            </w:pPr>
            <w:r>
              <w:rPr>
                <w:rFonts w:ascii="仿宋_GB2312" w:hAnsi="仿宋_GB2312" w:cs="仿宋_GB2312" w:eastAsia="仿宋_GB2312"/>
                <w:sz w:val="20"/>
              </w:rPr>
              <w:t>3.1.2平台功能要求</w:t>
            </w:r>
          </w:p>
          <w:p>
            <w:pPr>
              <w:pStyle w:val="null3"/>
              <w:ind w:firstLine="400"/>
            </w:pPr>
            <w:r>
              <w:rPr>
                <w:rFonts w:ascii="仿宋_GB2312" w:hAnsi="仿宋_GB2312" w:cs="仿宋_GB2312" w:eastAsia="仿宋_GB2312"/>
                <w:sz w:val="20"/>
              </w:rPr>
              <w:t>3.1.2.1患者端功能</w:t>
            </w:r>
          </w:p>
          <w:p>
            <w:pPr>
              <w:pStyle w:val="null3"/>
              <w:ind w:firstLine="400"/>
            </w:pPr>
            <w:r>
              <w:rPr>
                <w:rFonts w:ascii="仿宋_GB2312" w:hAnsi="仿宋_GB2312" w:cs="仿宋_GB2312" w:eastAsia="仿宋_GB2312"/>
                <w:sz w:val="20"/>
              </w:rPr>
              <w:t>3.1.2.1.1商保快赔</w:t>
            </w:r>
          </w:p>
          <w:p>
            <w:pPr>
              <w:pStyle w:val="null3"/>
              <w:ind w:firstLine="400"/>
            </w:pPr>
            <w:r>
              <w:rPr>
                <w:rFonts w:ascii="仿宋_GB2312" w:hAnsi="仿宋_GB2312" w:cs="仿宋_GB2312" w:eastAsia="仿宋_GB2312"/>
                <w:sz w:val="20"/>
              </w:rPr>
              <w:t>患者就诊结算后，线上发起理赔申请，通过接口的方式在线提交理赔所需的就诊数据，实现无纸化理赔流程，保险公司审核完成理赔后，直接将商保报销费用支付给患者。</w:t>
            </w:r>
          </w:p>
          <w:p>
            <w:pPr>
              <w:pStyle w:val="null3"/>
              <w:ind w:firstLine="400"/>
            </w:pPr>
            <w:r>
              <w:rPr>
                <w:rFonts w:ascii="仿宋_GB2312" w:hAnsi="仿宋_GB2312" w:cs="仿宋_GB2312" w:eastAsia="仿宋_GB2312"/>
                <w:sz w:val="20"/>
              </w:rPr>
              <w:t>用户发起理赔申请渠道包括：微信小程序、健康陕西微信公众号</w:t>
            </w:r>
            <w:r>
              <w:rPr>
                <w:rFonts w:ascii="仿宋_GB2312" w:hAnsi="仿宋_GB2312" w:cs="仿宋_GB2312" w:eastAsia="仿宋_GB2312"/>
                <w:sz w:val="20"/>
              </w:rPr>
              <w:t>/APP、医院微信公众号/APP、保险公司微信公众号/APP/系统等</w:t>
            </w:r>
          </w:p>
          <w:p>
            <w:pPr>
              <w:pStyle w:val="null3"/>
              <w:ind w:firstLine="400"/>
            </w:pPr>
            <w:r>
              <w:rPr>
                <w:rFonts w:ascii="仿宋_GB2312" w:hAnsi="仿宋_GB2312" w:cs="仿宋_GB2312" w:eastAsia="仿宋_GB2312"/>
                <w:sz w:val="20"/>
              </w:rPr>
              <w:t>3.1.2.1.2商保直赔</w:t>
            </w:r>
          </w:p>
          <w:p>
            <w:pPr>
              <w:pStyle w:val="null3"/>
              <w:ind w:firstLine="400"/>
            </w:pPr>
            <w:r>
              <w:rPr>
                <w:rFonts w:ascii="仿宋_GB2312" w:hAnsi="仿宋_GB2312" w:cs="仿宋_GB2312" w:eastAsia="仿宋_GB2312"/>
                <w:sz w:val="20"/>
              </w:rPr>
              <w:t>患者出院结算时商保实时同步结算，患者无需支付商保应报销的部分，患者出院时只需支付扣除医保、商保报销后个人自付部分费用，事后平台按周与医院进行相应款项结算。</w:t>
            </w:r>
          </w:p>
          <w:p>
            <w:pPr>
              <w:pStyle w:val="null3"/>
              <w:ind w:firstLine="400"/>
            </w:pPr>
            <w:r>
              <w:rPr>
                <w:rFonts w:ascii="仿宋_GB2312" w:hAnsi="仿宋_GB2312" w:cs="仿宋_GB2312" w:eastAsia="仿宋_GB2312"/>
                <w:sz w:val="20"/>
              </w:rPr>
              <w:t>用户发起理赔申请渠道包括：微信小程序、健康陕西微信公众号</w:t>
            </w:r>
            <w:r>
              <w:rPr>
                <w:rFonts w:ascii="仿宋_GB2312" w:hAnsi="仿宋_GB2312" w:cs="仿宋_GB2312" w:eastAsia="仿宋_GB2312"/>
                <w:sz w:val="20"/>
              </w:rPr>
              <w:t>/APP、医院微信公众号/APP、保险公司微信公众号/APP/系统等。</w:t>
            </w:r>
          </w:p>
          <w:p>
            <w:pPr>
              <w:pStyle w:val="null3"/>
              <w:ind w:firstLine="400"/>
            </w:pPr>
            <w:r>
              <w:rPr>
                <w:rFonts w:ascii="仿宋_GB2312" w:hAnsi="仿宋_GB2312" w:cs="仿宋_GB2312" w:eastAsia="仿宋_GB2312"/>
                <w:sz w:val="20"/>
              </w:rPr>
              <w:t>3.1.2.1.3 反欺诈调查功能</w:t>
            </w:r>
          </w:p>
          <w:p>
            <w:pPr>
              <w:pStyle w:val="null3"/>
              <w:ind w:firstLine="400"/>
            </w:pPr>
            <w:r>
              <w:rPr>
                <w:rFonts w:ascii="仿宋_GB2312" w:hAnsi="仿宋_GB2312" w:cs="仿宋_GB2312" w:eastAsia="仿宋_GB2312"/>
                <w:sz w:val="20"/>
              </w:rPr>
              <w:t>反欺诈调查是指协助保险人核实健康商险被保险人出险前后的就诊信息，即在用户授权情况下，线上为保险公司提供被保险人医疗就诊记录（含就诊时间、就诊医院及科室、疾病名称等最小数据集）的查询服务。</w:t>
            </w:r>
          </w:p>
          <w:p>
            <w:pPr>
              <w:pStyle w:val="null3"/>
              <w:ind w:firstLine="400"/>
            </w:pPr>
            <w:r>
              <w:rPr>
                <w:rFonts w:ascii="仿宋_GB2312" w:hAnsi="仿宋_GB2312" w:cs="仿宋_GB2312" w:eastAsia="仿宋_GB2312"/>
                <w:sz w:val="20"/>
              </w:rPr>
              <w:t>3.1.2.1.4主要功能及要求</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1）提供实名认证</w:t>
            </w:r>
          </w:p>
          <w:p>
            <w:pPr>
              <w:pStyle w:val="null3"/>
              <w:ind w:firstLine="400"/>
            </w:pPr>
            <w:r>
              <w:rPr>
                <w:rFonts w:ascii="仿宋_GB2312" w:hAnsi="仿宋_GB2312" w:cs="仿宋_GB2312" w:eastAsia="仿宋_GB2312"/>
                <w:sz w:val="20"/>
              </w:rPr>
              <w:t>支持银联四要素、运营商三要素几种方式的实名认证。</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2）支持申请理赔</w:t>
            </w:r>
          </w:p>
          <w:p>
            <w:pPr>
              <w:pStyle w:val="null3"/>
              <w:ind w:firstLine="400"/>
            </w:pPr>
            <w:r>
              <w:rPr>
                <w:rFonts w:ascii="仿宋_GB2312" w:hAnsi="仿宋_GB2312" w:cs="仿宋_GB2312" w:eastAsia="仿宋_GB2312"/>
                <w:sz w:val="20"/>
              </w:rPr>
              <w:t>支持门诊及住院患者就诊后在线理赔申请。</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3）提供授权管理</w:t>
            </w:r>
          </w:p>
          <w:p>
            <w:pPr>
              <w:pStyle w:val="null3"/>
              <w:ind w:firstLine="400"/>
            </w:pPr>
            <w:r>
              <w:rPr>
                <w:rFonts w:ascii="仿宋_GB2312" w:hAnsi="仿宋_GB2312" w:cs="仿宋_GB2312" w:eastAsia="仿宋_GB2312"/>
                <w:sz w:val="20"/>
              </w:rPr>
              <w:t>支持患者对制定医疗机构、保险机构、就诊行为进行授权管理。</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4）理赔信息确认</w:t>
            </w:r>
          </w:p>
          <w:p>
            <w:pPr>
              <w:pStyle w:val="null3"/>
              <w:ind w:firstLine="400"/>
            </w:pPr>
            <w:r>
              <w:rPr>
                <w:rFonts w:ascii="仿宋_GB2312" w:hAnsi="仿宋_GB2312" w:cs="仿宋_GB2312" w:eastAsia="仿宋_GB2312"/>
                <w:sz w:val="20"/>
              </w:rPr>
              <w:t>支持患者在线查看、核对理赔金额及理赔病例等数据信息。</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5）具备消息提醒</w:t>
            </w:r>
          </w:p>
          <w:p>
            <w:pPr>
              <w:pStyle w:val="null3"/>
              <w:ind w:firstLine="400"/>
            </w:pPr>
            <w:r>
              <w:rPr>
                <w:rFonts w:ascii="仿宋_GB2312" w:hAnsi="仿宋_GB2312" w:cs="仿宋_GB2312" w:eastAsia="仿宋_GB2312"/>
                <w:sz w:val="20"/>
              </w:rPr>
              <w:t>支持患者在申请理赔时，对理赔状态更新实时推送消息提醒。</w:t>
            </w:r>
          </w:p>
          <w:p>
            <w:pPr>
              <w:pStyle w:val="null3"/>
              <w:ind w:firstLine="400"/>
            </w:pPr>
            <w:r>
              <w:rPr>
                <w:rFonts w:ascii="仿宋_GB2312" w:hAnsi="仿宋_GB2312" w:cs="仿宋_GB2312" w:eastAsia="仿宋_GB2312"/>
                <w:sz w:val="20"/>
              </w:rPr>
              <w:t>3.1.2.2省平台管理后台功能要求</w:t>
            </w:r>
          </w:p>
          <w:p>
            <w:pPr>
              <w:pStyle w:val="null3"/>
              <w:ind w:firstLine="400"/>
            </w:pPr>
            <w:r>
              <w:rPr>
                <w:rFonts w:ascii="仿宋_GB2312" w:hAnsi="仿宋_GB2312" w:cs="仿宋_GB2312" w:eastAsia="仿宋_GB2312"/>
                <w:sz w:val="20"/>
              </w:rPr>
              <w:t>为满足各级医疗机构的管理人员日常工作要求，管理后台应含如下功能：</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1）理赔订单</w:t>
            </w:r>
          </w:p>
          <w:p>
            <w:pPr>
              <w:pStyle w:val="null3"/>
              <w:ind w:firstLine="400"/>
            </w:pPr>
            <w:r>
              <w:rPr>
                <w:rFonts w:ascii="仿宋_GB2312" w:hAnsi="仿宋_GB2312" w:cs="仿宋_GB2312" w:eastAsia="仿宋_GB2312"/>
                <w:sz w:val="20"/>
              </w:rPr>
              <w:t>支持查看患者理赔申请订单、用户授权信息等。</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2）可视化大屏</w:t>
            </w:r>
          </w:p>
          <w:p>
            <w:pPr>
              <w:pStyle w:val="null3"/>
              <w:ind w:firstLine="400"/>
            </w:pPr>
            <w:r>
              <w:rPr>
                <w:rFonts w:ascii="仿宋_GB2312" w:hAnsi="仿宋_GB2312" w:cs="仿宋_GB2312" w:eastAsia="仿宋_GB2312"/>
                <w:sz w:val="20"/>
              </w:rPr>
              <w:t>支持可视化大屏展示理赔统计数据等。</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3）保险公司接入管理</w:t>
            </w:r>
          </w:p>
          <w:p>
            <w:pPr>
              <w:pStyle w:val="null3"/>
              <w:ind w:firstLine="400"/>
            </w:pPr>
            <w:r>
              <w:rPr>
                <w:rFonts w:ascii="仿宋_GB2312" w:hAnsi="仿宋_GB2312" w:cs="仿宋_GB2312" w:eastAsia="仿宋_GB2312"/>
                <w:sz w:val="20"/>
              </w:rPr>
              <w:t>支持查看接入的保险机构。</w:t>
            </w:r>
          </w:p>
          <w:p>
            <w:pPr>
              <w:pStyle w:val="null3"/>
              <w:ind w:firstLine="400"/>
            </w:pPr>
            <w:r>
              <w:rPr>
                <w:rFonts w:ascii="仿宋_GB2312" w:hAnsi="仿宋_GB2312" w:cs="仿宋_GB2312" w:eastAsia="仿宋_GB2312"/>
                <w:sz w:val="20"/>
              </w:rPr>
              <w:t>3.1.3接口要求</w:t>
            </w:r>
          </w:p>
          <w:p>
            <w:pPr>
              <w:pStyle w:val="null3"/>
              <w:ind w:firstLine="400"/>
            </w:pPr>
            <w:r>
              <w:rPr>
                <w:rFonts w:ascii="仿宋_GB2312" w:hAnsi="仿宋_GB2312" w:cs="仿宋_GB2312" w:eastAsia="仿宋_GB2312"/>
                <w:sz w:val="20"/>
              </w:rPr>
              <w:t>与医院对接，有明确的接口文档，包括但不限于：门诊基本信息、门诊收费明细、门诊结算明细、门诊病历信息、住院基本信息、住院费用明细、出院结算明细、住院入院记录、住院出院记录、手术信息记录、目录信息等。</w:t>
            </w:r>
          </w:p>
          <w:p>
            <w:pPr>
              <w:pStyle w:val="null3"/>
              <w:ind w:firstLine="400"/>
            </w:pPr>
            <w:r>
              <w:rPr>
                <w:rFonts w:ascii="仿宋_GB2312" w:hAnsi="仿宋_GB2312" w:cs="仿宋_GB2312" w:eastAsia="仿宋_GB2312"/>
                <w:sz w:val="20"/>
              </w:rPr>
              <w:t>与省级信息平台对接，有明确的接口文档，包括但不限于：就诊医院名称，就诊时间，就诊类型（门诊</w:t>
            </w:r>
            <w:r>
              <w:rPr>
                <w:rFonts w:ascii="仿宋_GB2312" w:hAnsi="仿宋_GB2312" w:cs="仿宋_GB2312" w:eastAsia="仿宋_GB2312"/>
                <w:sz w:val="20"/>
              </w:rPr>
              <w:t>/住院） 诊断列表（诊断名称，诊断编码）医疗费用。</w:t>
            </w:r>
          </w:p>
          <w:p>
            <w:pPr>
              <w:pStyle w:val="null3"/>
              <w:ind w:firstLine="400"/>
            </w:pPr>
            <w:r>
              <w:rPr>
                <w:rFonts w:ascii="仿宋_GB2312" w:hAnsi="仿宋_GB2312" w:cs="仿宋_GB2312" w:eastAsia="仿宋_GB2312"/>
                <w:sz w:val="20"/>
              </w:rPr>
              <w:t>3.1.4服务涉及技术要求</w:t>
            </w:r>
          </w:p>
          <w:p>
            <w:pPr>
              <w:pStyle w:val="null3"/>
              <w:ind w:firstLine="400"/>
            </w:pPr>
            <w:r>
              <w:rPr>
                <w:rFonts w:ascii="仿宋_GB2312" w:hAnsi="仿宋_GB2312" w:cs="仿宋_GB2312" w:eastAsia="仿宋_GB2312"/>
                <w:sz w:val="20"/>
              </w:rPr>
              <w:t>1. 技术要求</w:t>
            </w:r>
          </w:p>
          <w:p>
            <w:pPr>
              <w:pStyle w:val="null3"/>
              <w:ind w:firstLine="400"/>
            </w:pPr>
            <w:r>
              <w:rPr>
                <w:rFonts w:ascii="仿宋_GB2312" w:hAnsi="仿宋_GB2312" w:cs="仿宋_GB2312" w:eastAsia="仿宋_GB2312"/>
                <w:sz w:val="20"/>
              </w:rPr>
              <w:t>1.1. Java EE技术路线。采用主流面向对象的开发语言。</w:t>
            </w:r>
          </w:p>
          <w:p>
            <w:pPr>
              <w:pStyle w:val="null3"/>
              <w:ind w:firstLine="400"/>
            </w:pPr>
            <w:r>
              <w:rPr>
                <w:rFonts w:ascii="仿宋_GB2312" w:hAnsi="仿宋_GB2312" w:cs="仿宋_GB2312" w:eastAsia="仿宋_GB2312"/>
                <w:sz w:val="20"/>
              </w:rPr>
              <w:t>1.2. 整体架构采用SOA架构设计思想。</w:t>
            </w:r>
          </w:p>
          <w:p>
            <w:pPr>
              <w:pStyle w:val="null3"/>
              <w:ind w:firstLine="400"/>
            </w:pPr>
            <w:r>
              <w:rPr>
                <w:rFonts w:ascii="仿宋_GB2312" w:hAnsi="仿宋_GB2312" w:cs="仿宋_GB2312" w:eastAsia="仿宋_GB2312"/>
                <w:sz w:val="20"/>
              </w:rPr>
              <w:t>1.3. 平台接口标准按照保监委《医保数据交换规范》和《国家异地就医结算系统接口规范》等进行设计，在满足商保理赔业务情况下，限定保险机构数据读取范围，以最小数据集来促进信息互联互通和业务协同。</w:t>
            </w:r>
          </w:p>
          <w:p>
            <w:pPr>
              <w:pStyle w:val="null3"/>
              <w:ind w:firstLine="400"/>
            </w:pPr>
            <w:r>
              <w:rPr>
                <w:rFonts w:ascii="仿宋_GB2312" w:hAnsi="仿宋_GB2312" w:cs="仿宋_GB2312" w:eastAsia="仿宋_GB2312"/>
                <w:sz w:val="20"/>
              </w:rPr>
              <w:t>2. 对接要求</w:t>
            </w:r>
          </w:p>
          <w:p>
            <w:pPr>
              <w:pStyle w:val="null3"/>
              <w:ind w:firstLine="400"/>
            </w:pPr>
            <w:r>
              <w:rPr>
                <w:rFonts w:ascii="仿宋_GB2312" w:hAnsi="仿宋_GB2312" w:cs="仿宋_GB2312" w:eastAsia="仿宋_GB2312"/>
                <w:sz w:val="20"/>
              </w:rPr>
              <w:t>2.1. 与医院对接，有明确的接口文档，包括但不限于：门诊基本信息、门诊收费明细、门诊结算明细、门诊病历信息、住院基本信息、住院费用明细、出院结算明细、住院入院记录、住院出院记录、手术信息记录、目录信息等。</w:t>
            </w:r>
          </w:p>
          <w:p>
            <w:pPr>
              <w:pStyle w:val="null3"/>
              <w:ind w:firstLine="400"/>
            </w:pPr>
            <w:r>
              <w:rPr>
                <w:rFonts w:ascii="仿宋_GB2312" w:hAnsi="仿宋_GB2312" w:cs="仿宋_GB2312" w:eastAsia="仿宋_GB2312"/>
                <w:sz w:val="20"/>
              </w:rPr>
              <w:t>3. 性能指标</w:t>
            </w:r>
          </w:p>
          <w:p>
            <w:pPr>
              <w:pStyle w:val="null3"/>
              <w:ind w:firstLine="400"/>
            </w:pPr>
            <w:r>
              <w:rPr>
                <w:rFonts w:ascii="仿宋_GB2312" w:hAnsi="仿宋_GB2312" w:cs="仿宋_GB2312" w:eastAsia="仿宋_GB2312"/>
                <w:sz w:val="20"/>
              </w:rPr>
              <w:t>3.1. 采用多层架构和体系结构，充分考虑到系统今后纵向和横向的平滑扩展能力；</w:t>
            </w:r>
          </w:p>
          <w:p>
            <w:pPr>
              <w:pStyle w:val="null3"/>
              <w:ind w:firstLine="400"/>
            </w:pPr>
            <w:r>
              <w:rPr>
                <w:rFonts w:ascii="仿宋_GB2312" w:hAnsi="仿宋_GB2312" w:cs="仿宋_GB2312" w:eastAsia="仿宋_GB2312"/>
                <w:sz w:val="20"/>
              </w:rPr>
              <w:t>3.2. 满足不少于20个并发查询业务处理，90%的响应时间≤3秒；</w:t>
            </w:r>
          </w:p>
          <w:p>
            <w:pPr>
              <w:pStyle w:val="null3"/>
              <w:ind w:firstLine="400"/>
            </w:pPr>
            <w:r>
              <w:rPr>
                <w:rFonts w:ascii="仿宋_GB2312" w:hAnsi="仿宋_GB2312" w:cs="仿宋_GB2312" w:eastAsia="仿宋_GB2312"/>
                <w:sz w:val="20"/>
              </w:rPr>
              <w:t>3.3. 复杂报表或查询，查询时间不大于60秒；</w:t>
            </w:r>
          </w:p>
          <w:p>
            <w:pPr>
              <w:pStyle w:val="null3"/>
              <w:ind w:firstLine="400"/>
            </w:pPr>
            <w:r>
              <w:rPr>
                <w:rFonts w:ascii="仿宋_GB2312" w:hAnsi="仿宋_GB2312" w:cs="仿宋_GB2312" w:eastAsia="仿宋_GB2312"/>
                <w:sz w:val="20"/>
              </w:rPr>
              <w:t>3.4. 一般报表或查询，查询时间不大于10秒；</w:t>
            </w:r>
          </w:p>
          <w:p>
            <w:pPr>
              <w:pStyle w:val="null3"/>
              <w:ind w:firstLine="400"/>
            </w:pPr>
            <w:r>
              <w:rPr>
                <w:rFonts w:ascii="仿宋_GB2312" w:hAnsi="仿宋_GB2312" w:cs="仿宋_GB2312" w:eastAsia="仿宋_GB2312"/>
                <w:sz w:val="20"/>
              </w:rPr>
              <w:t>3.5. 复杂的数理统计、数据挖掘，不大于5分钟；</w:t>
            </w:r>
          </w:p>
          <w:p>
            <w:pPr>
              <w:pStyle w:val="null3"/>
              <w:ind w:firstLine="400"/>
            </w:pPr>
            <w:r>
              <w:rPr>
                <w:rFonts w:ascii="仿宋_GB2312" w:hAnsi="仿宋_GB2312" w:cs="仿宋_GB2312" w:eastAsia="仿宋_GB2312"/>
                <w:sz w:val="20"/>
              </w:rPr>
              <w:t>3.6. 一般高级数据分析（如预测分析、相关分析），不大于3分钟；</w:t>
            </w:r>
          </w:p>
          <w:p>
            <w:pPr>
              <w:pStyle w:val="null3"/>
              <w:ind w:firstLine="400"/>
            </w:pPr>
            <w:r>
              <w:rPr>
                <w:rFonts w:ascii="仿宋_GB2312" w:hAnsi="仿宋_GB2312" w:cs="仿宋_GB2312" w:eastAsia="仿宋_GB2312"/>
                <w:sz w:val="20"/>
              </w:rPr>
              <w:t>3.7. 在网络稳定的环境下操作性界面单一操作的系统响应时间小于10秒；</w:t>
            </w:r>
          </w:p>
          <w:p>
            <w:pPr>
              <w:pStyle w:val="null3"/>
              <w:ind w:firstLine="400"/>
            </w:pPr>
            <w:r>
              <w:rPr>
                <w:rFonts w:ascii="仿宋_GB2312" w:hAnsi="仿宋_GB2312" w:cs="仿宋_GB2312" w:eastAsia="仿宋_GB2312"/>
                <w:sz w:val="20"/>
              </w:rPr>
              <w:t>3.8. 系统提供7天×24小时的连续运行；平均年故障时间低于120小时；平均故障修复时间低于2小时；</w:t>
            </w:r>
          </w:p>
          <w:p>
            <w:pPr>
              <w:pStyle w:val="null3"/>
              <w:ind w:firstLine="400"/>
            </w:pPr>
            <w:r>
              <w:rPr>
                <w:rFonts w:ascii="仿宋_GB2312" w:hAnsi="仿宋_GB2312" w:cs="仿宋_GB2312" w:eastAsia="仿宋_GB2312"/>
                <w:sz w:val="20"/>
              </w:rPr>
              <w:t>3.9. 具有较强的系统安全性和冗余机制。</w:t>
            </w:r>
          </w:p>
          <w:p>
            <w:pPr>
              <w:pStyle w:val="null3"/>
              <w:ind w:firstLine="400"/>
            </w:pPr>
            <w:r>
              <w:rPr>
                <w:rFonts w:ascii="仿宋_GB2312" w:hAnsi="仿宋_GB2312" w:cs="仿宋_GB2312" w:eastAsia="仿宋_GB2312"/>
                <w:sz w:val="20"/>
              </w:rPr>
              <w:t>3.1.5信息安全要求</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1）为了确保平台的安全性，根据国家信息安全等级保护管理办法，商保平台建设方和接入机构信息安全等级应不低于等保三级。</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2）实名认证要求：</w:t>
            </w:r>
          </w:p>
          <w:p>
            <w:pPr>
              <w:pStyle w:val="null3"/>
              <w:ind w:firstLine="400"/>
            </w:pPr>
            <w:r>
              <w:rPr>
                <w:rFonts w:ascii="仿宋_GB2312" w:hAnsi="仿宋_GB2312" w:cs="仿宋_GB2312" w:eastAsia="仿宋_GB2312"/>
                <w:sz w:val="20"/>
              </w:rPr>
              <w:t>支持在线实时实名认证技术，包括实名认证注册和实名身份验证。</w:t>
            </w:r>
          </w:p>
          <w:p>
            <w:pPr>
              <w:pStyle w:val="null3"/>
              <w:ind w:firstLine="400"/>
            </w:pPr>
            <w:r>
              <w:rPr>
                <w:rFonts w:ascii="仿宋_GB2312" w:hAnsi="仿宋_GB2312" w:cs="仿宋_GB2312" w:eastAsia="仿宋_GB2312"/>
                <w:sz w:val="20"/>
              </w:rPr>
              <w:t>商保患者投保或在首次使用理赔服务功能时，需要进行实名认证注册，用于确认合法身份。</w:t>
            </w:r>
          </w:p>
          <w:p>
            <w:pPr>
              <w:pStyle w:val="null3"/>
              <w:ind w:firstLine="400"/>
            </w:pPr>
            <w:r>
              <w:rPr>
                <w:rFonts w:ascii="仿宋_GB2312" w:hAnsi="仿宋_GB2312" w:cs="仿宋_GB2312" w:eastAsia="仿宋_GB2312"/>
                <w:sz w:val="20"/>
              </w:rPr>
              <w:t>对已经通过实名认证的商保患者，在提交理赔申请时需要通过实名身份验证功能，以确认为本人发起。</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3）医疗数据是指：商保患者在合作医疗机构就诊过程中发生的医疗诊疗信息、相关费用清单和结算信息。商保患者医疗数据仅用于理赔，且只有商保患者发起理赔申请时，才能按要求采集与此次理赔相关的医疗数据，加密后进行数据传输，所用加密算法必须符合国家相关要求，如果不符合需按招标人要求进行改造，所需费用由中标方承担，如无法按要求完成改造的，招标人有权终止提供相关医疗数据。</w:t>
            </w:r>
          </w:p>
          <w:p>
            <w:pPr>
              <w:pStyle w:val="null3"/>
              <w:ind w:firstLine="400"/>
            </w:pPr>
            <w:r>
              <w:rPr>
                <w:rFonts w:ascii="仿宋_GB2312" w:hAnsi="仿宋_GB2312" w:cs="仿宋_GB2312" w:eastAsia="仿宋_GB2312"/>
                <w:sz w:val="20"/>
              </w:rPr>
              <w:t>医疗数据主要含：门诊基本信息、门诊费用明细、门诊结算信息、门诊病历、住院基本信息、住院费用明细、住院结算信息、住院入院记录、住院出院记录、目录信息；</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4）隐私保护：线上理赔业务中相关页面设置授权内容，并设置显著提示或勾选阅读等，获得用户的明示同意，包括注册时、理赔时等。</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5）医疗相关文书内容应遵守国家卫健委、国家中医药管理局印发《医疗机构病历管理规定(2013 年版)》及相关法律法规。</w:t>
            </w:r>
          </w:p>
          <w:p>
            <w:pPr>
              <w:pStyle w:val="null3"/>
              <w:ind w:firstLine="400"/>
            </w:pPr>
            <w:r>
              <w:rPr>
                <w:rFonts w:ascii="仿宋_GB2312" w:hAnsi="仿宋_GB2312" w:cs="仿宋_GB2312" w:eastAsia="仿宋_GB2312"/>
                <w:sz w:val="20"/>
              </w:rPr>
              <w:t>3.2项目运维要求</w:t>
            </w:r>
          </w:p>
          <w:p>
            <w:pPr>
              <w:pStyle w:val="null3"/>
              <w:ind w:firstLine="400"/>
            </w:pPr>
            <w:r>
              <w:rPr>
                <w:rFonts w:ascii="仿宋_GB2312" w:hAnsi="仿宋_GB2312" w:cs="仿宋_GB2312" w:eastAsia="仿宋_GB2312"/>
                <w:sz w:val="20"/>
              </w:rPr>
              <w:t>1、投标人负责所供软件及配套产品的售后服务，包括提供所供产品技术咨询、技术培训、到货验收、安装调试以及负责所供产品的保修及其它售后技术服务。</w:t>
            </w:r>
          </w:p>
          <w:p>
            <w:pPr>
              <w:pStyle w:val="null3"/>
              <w:ind w:firstLine="400"/>
            </w:pPr>
            <w:r>
              <w:rPr>
                <w:rFonts w:ascii="仿宋_GB2312" w:hAnsi="仿宋_GB2312" w:cs="仿宋_GB2312" w:eastAsia="仿宋_GB2312"/>
                <w:sz w:val="20"/>
              </w:rPr>
              <w:t>2、投标人在投标书中必须明确承诺运维服务响应时间，并不得低于以下标准：合作期内提供7×24免费服务，接到故障通知2小时内做出明确响应和安排。如需现场服务的，具有解决故障能力的工程师应在1天内到达现场，解决相关故障问题恢复系统运行。</w:t>
            </w:r>
          </w:p>
          <w:p>
            <w:pPr>
              <w:pStyle w:val="null3"/>
              <w:ind w:firstLine="400"/>
            </w:pPr>
            <w:r>
              <w:rPr>
                <w:rFonts w:ascii="仿宋_GB2312" w:hAnsi="仿宋_GB2312" w:cs="仿宋_GB2312" w:eastAsia="仿宋_GB2312"/>
                <w:sz w:val="20"/>
              </w:rPr>
              <w:t>3.3项目管理要求</w:t>
            </w:r>
          </w:p>
          <w:p>
            <w:pPr>
              <w:pStyle w:val="null3"/>
              <w:ind w:firstLine="400"/>
            </w:pPr>
            <w:r>
              <w:rPr>
                <w:rFonts w:ascii="仿宋_GB2312" w:hAnsi="仿宋_GB2312" w:cs="仿宋_GB2312" w:eastAsia="仿宋_GB2312"/>
                <w:sz w:val="20"/>
              </w:rPr>
              <w:t>3.3.1提供《项目运维实施方案》，保障项目的顺利实施；</w:t>
            </w:r>
          </w:p>
          <w:p>
            <w:pPr>
              <w:pStyle w:val="null3"/>
              <w:ind w:firstLine="400"/>
            </w:pPr>
            <w:r>
              <w:rPr>
                <w:rFonts w:ascii="仿宋_GB2312" w:hAnsi="仿宋_GB2312" w:cs="仿宋_GB2312" w:eastAsia="仿宋_GB2312"/>
                <w:sz w:val="20"/>
              </w:rPr>
              <w:t>四、技术服务及其它</w:t>
            </w:r>
          </w:p>
          <w:p>
            <w:pPr>
              <w:pStyle w:val="null3"/>
              <w:ind w:firstLine="400"/>
            </w:pPr>
            <w:r>
              <w:rPr>
                <w:rFonts w:ascii="仿宋_GB2312" w:hAnsi="仿宋_GB2312" w:cs="仿宋_GB2312" w:eastAsia="仿宋_GB2312"/>
                <w:sz w:val="20"/>
              </w:rPr>
              <w:t>4.1安装、交付、售后要求</w:t>
            </w:r>
          </w:p>
          <w:p>
            <w:pPr>
              <w:pStyle w:val="null3"/>
              <w:ind w:firstLine="400"/>
            </w:pPr>
            <w:r>
              <w:rPr>
                <w:rFonts w:ascii="仿宋_GB2312" w:hAnsi="仿宋_GB2312" w:cs="仿宋_GB2312" w:eastAsia="仿宋_GB2312"/>
                <w:sz w:val="20"/>
              </w:rPr>
              <w:t>4.1.1按需求完成系统功能升级、系统测试、上线试运行及医疗机构对接后正式运行。</w:t>
            </w:r>
          </w:p>
          <w:p>
            <w:pPr>
              <w:pStyle w:val="null3"/>
              <w:ind w:firstLine="400"/>
            </w:pPr>
            <w:r>
              <w:rPr>
                <w:rFonts w:ascii="仿宋_GB2312" w:hAnsi="仿宋_GB2312" w:cs="仿宋_GB2312" w:eastAsia="仿宋_GB2312"/>
                <w:sz w:val="20"/>
              </w:rPr>
              <w:t>4.1.2应根据设计开发进度及时向招标人提供相关文档资料，包括但不限于：《实施方案》、《接口文档》等。</w:t>
            </w:r>
          </w:p>
          <w:p>
            <w:pPr>
              <w:pStyle w:val="null3"/>
              <w:ind w:firstLine="400"/>
            </w:pPr>
            <w:r>
              <w:rPr>
                <w:rFonts w:ascii="仿宋_GB2312" w:hAnsi="仿宋_GB2312" w:cs="仿宋_GB2312" w:eastAsia="仿宋_GB2312"/>
                <w:sz w:val="20"/>
              </w:rPr>
              <w:t>4.1.3应允许采购人的工作人员参与项目的安装、测试、诊断及解决问题等各项工作，并提供相关的现场培训。</w:t>
            </w:r>
          </w:p>
          <w:p>
            <w:pPr>
              <w:pStyle w:val="null3"/>
              <w:ind w:firstLine="400"/>
            </w:pPr>
            <w:r>
              <w:rPr>
                <w:rFonts w:ascii="仿宋_GB2312" w:hAnsi="仿宋_GB2312" w:cs="仿宋_GB2312" w:eastAsia="仿宋_GB2312"/>
                <w:sz w:val="20"/>
              </w:rPr>
              <w:t>4.1.4在投标书中必须明确承诺售后服务响应时间，并不得低于以下标准：合作期内提供7×24免费服务，接到故障通知2小时内做出明确响应和安排。如需现场服务的，具有解决故障能力的工程师应在2日内到达现场。</w:t>
            </w:r>
          </w:p>
          <w:p>
            <w:pPr>
              <w:pStyle w:val="null3"/>
              <w:ind w:firstLine="400"/>
            </w:pPr>
            <w:r>
              <w:rPr>
                <w:rFonts w:ascii="仿宋_GB2312" w:hAnsi="仿宋_GB2312" w:cs="仿宋_GB2312" w:eastAsia="仿宋_GB2312"/>
                <w:sz w:val="20"/>
              </w:rPr>
              <w:t>4.2实施进度与人员配备</w:t>
            </w:r>
          </w:p>
          <w:p>
            <w:pPr>
              <w:pStyle w:val="null3"/>
              <w:ind w:firstLine="400"/>
            </w:pPr>
            <w:r>
              <w:rPr>
                <w:rFonts w:ascii="仿宋_GB2312" w:hAnsi="仿宋_GB2312" w:cs="仿宋_GB2312" w:eastAsia="仿宋_GB2312"/>
                <w:sz w:val="20"/>
              </w:rPr>
              <w:t>4.2.1制定明确的项目实施进度计划。</w:t>
            </w:r>
          </w:p>
          <w:p>
            <w:pPr>
              <w:pStyle w:val="null3"/>
              <w:ind w:firstLine="400"/>
            </w:pPr>
            <w:r>
              <w:rPr>
                <w:rFonts w:ascii="仿宋_GB2312" w:hAnsi="仿宋_GB2312" w:cs="仿宋_GB2312" w:eastAsia="仿宋_GB2312"/>
                <w:sz w:val="20"/>
              </w:rPr>
              <w:t>4.2.2为保证项目的顺利实施，投标人需为本项目构建稳定的不少于5人的技术人员团队，涵盖项目管理、开发、实施、运维等人员。</w:t>
            </w:r>
          </w:p>
          <w:p>
            <w:pPr>
              <w:pStyle w:val="null3"/>
              <w:ind w:firstLine="400"/>
            </w:pPr>
            <w:r>
              <w:rPr>
                <w:rFonts w:ascii="仿宋_GB2312" w:hAnsi="仿宋_GB2312" w:cs="仿宋_GB2312" w:eastAsia="仿宋_GB2312"/>
                <w:sz w:val="20"/>
              </w:rPr>
              <w:t>4.2.3应在投标书中提供项目实施详细进度计划和项目小组人员名单和职责。</w:t>
            </w:r>
          </w:p>
          <w:p>
            <w:pPr>
              <w:pStyle w:val="null3"/>
              <w:ind w:firstLine="400"/>
            </w:pPr>
            <w:r>
              <w:rPr>
                <w:rFonts w:ascii="仿宋_GB2312" w:hAnsi="仿宋_GB2312" w:cs="仿宋_GB2312" w:eastAsia="仿宋_GB2312"/>
                <w:sz w:val="20"/>
              </w:rPr>
              <w:t>五、项目人员要求</w:t>
            </w:r>
          </w:p>
          <w:p>
            <w:pPr>
              <w:pStyle w:val="null3"/>
              <w:ind w:firstLine="400"/>
            </w:pPr>
            <w:r>
              <w:rPr>
                <w:rFonts w:ascii="仿宋_GB2312" w:hAnsi="仿宋_GB2312" w:cs="仿宋_GB2312" w:eastAsia="仿宋_GB2312"/>
                <w:sz w:val="20"/>
              </w:rPr>
              <w:t>成交人投入到本项目中的人员应与投标文件中承诺的人员相符，且与采购人签署保密协议。</w:t>
            </w:r>
          </w:p>
          <w:p>
            <w:pPr>
              <w:pStyle w:val="null3"/>
              <w:ind w:firstLine="400"/>
            </w:pPr>
            <w:r>
              <w:rPr>
                <w:rFonts w:ascii="仿宋_GB2312" w:hAnsi="仿宋_GB2312" w:cs="仿宋_GB2312" w:eastAsia="仿宋_GB2312"/>
                <w:sz w:val="20"/>
              </w:rPr>
              <w:t>六、退出机制</w:t>
            </w:r>
          </w:p>
          <w:p>
            <w:pPr>
              <w:pStyle w:val="null3"/>
              <w:ind w:firstLine="400"/>
            </w:pPr>
            <w:r>
              <w:rPr>
                <w:rFonts w:ascii="仿宋_GB2312" w:hAnsi="仿宋_GB2312" w:cs="仿宋_GB2312" w:eastAsia="仿宋_GB2312"/>
                <w:sz w:val="20"/>
              </w:rPr>
              <w:t>如发生以下情况，平台将退出运营：</w:t>
            </w:r>
          </w:p>
          <w:p>
            <w:pPr>
              <w:pStyle w:val="null3"/>
              <w:ind w:firstLine="400"/>
            </w:pPr>
            <w:r>
              <w:rPr>
                <w:rFonts w:ascii="仿宋_GB2312" w:hAnsi="仿宋_GB2312" w:cs="仿宋_GB2312" w:eastAsia="仿宋_GB2312"/>
                <w:sz w:val="20"/>
              </w:rPr>
              <w:t>1、因平台原因，造成患者投诉医院的情况；</w:t>
            </w:r>
          </w:p>
          <w:p>
            <w:pPr>
              <w:pStyle w:val="null3"/>
              <w:ind w:firstLine="400"/>
            </w:pPr>
            <w:r>
              <w:rPr>
                <w:rFonts w:ascii="仿宋_GB2312" w:hAnsi="仿宋_GB2312" w:cs="仿宋_GB2312" w:eastAsia="仿宋_GB2312"/>
                <w:sz w:val="20"/>
              </w:rPr>
              <w:t>2、平台发生患者数据泄露的情况；</w:t>
            </w:r>
          </w:p>
          <w:p>
            <w:pPr>
              <w:pStyle w:val="null3"/>
              <w:ind w:firstLine="400"/>
            </w:pPr>
            <w:r>
              <w:rPr>
                <w:rFonts w:ascii="仿宋_GB2312" w:hAnsi="仿宋_GB2312" w:cs="仿宋_GB2312" w:eastAsia="仿宋_GB2312"/>
                <w:sz w:val="20"/>
              </w:rPr>
              <w:t>3、省市级监管部门政策调整，要求平台退出的情况；</w:t>
            </w:r>
          </w:p>
          <w:p>
            <w:pPr>
              <w:pStyle w:val="null3"/>
              <w:ind w:firstLine="400"/>
            </w:pPr>
            <w:r>
              <w:rPr>
                <w:rFonts w:ascii="仿宋_GB2312" w:hAnsi="仿宋_GB2312" w:cs="仿宋_GB2312" w:eastAsia="仿宋_GB2312"/>
                <w:sz w:val="21"/>
              </w:rPr>
              <w:t>4、平台实际运营效果与平台承诺效果发生严重偏差的情况；</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本项目服务周期为1年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陕西省卫生健康信息中心指定地点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服务期满后，由乙方向甲方递交验收通知书，经甲方确认后，组织乙方进行系统验收。 验收合格后，填写政府采购项目验收单作为对本次服务的最终认可。</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532772190@qq.com（邮件命名：项目编号），并将保函原件单独递交至代理机构财务；供应商应在磋商文件中附保函复印件。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6月1日以来至少一个月的纳税证明或完税证明，纳税证明或完税证明上应有代收机构或税务机关的公章或业务专用章；其他组织和自然人提供自2024年6月1日以来至少一个月缴纳税收的凭据；依法免税的或者依法不需缴税的供应商应提供相关文件证明； ③社会保障资金缴纳证明：提供自2024年6月1日以来至少一个月已缴纳的社会保障资金的证明（社会保障资金缴存单据或社保机构开具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响应文件截止时间不足一年的可提供成立后任意时段的资产负债表），或提交自2024年12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4承诺书.docx 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响应文件封面 响应函 3资格证明文件.docx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法定代表人授权委托书：法定代表人参加磋商的，须提供法定代表人身份证复印件；法定代表人授权本单位他人参加磋商的，须提供法定代表人授权委托书。</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3资格证明文件.docx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30分钟）内提供成本构成书面说明，并提交相关证明材料。书面说明应当包括：①按照国家财务会计制度的规定要求，逐项就投标人提供的货物、工程和服务的主营业务成本（应根据投标人企业类型予以区别）、税金及附加、销售费用、管理费用、财务费用等成本构成事项详细陈述。②以前完成类似规模项目与类似价格的业绩证明材料（合同、发票）。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1分项价格表.docx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有下列情形之一的，应在符合性审查时按照无效磋商处理： (1)磋商响应文件未按照磋商文件规定要求签署、盖章的；(2)不满足本磋商文件中“服务期限、服务地点、采购资金的支付方式及约定”的实质性条款要求的； (3)文件有效期不足的或无有效期的； (4)报价超过磋商文件中规定的预算金额或最高限价的；(5)法律、法规和磋商文件规定的其他无效情形。</w:t>
            </w:r>
          </w:p>
        </w:tc>
        <w:tc>
          <w:tcPr>
            <w:tcW w:type="dxa" w:w="1661"/>
          </w:tcPr>
          <w:p>
            <w:pPr>
              <w:pStyle w:val="null3"/>
            </w:pPr>
            <w:r>
              <w:rPr>
                <w:rFonts w:ascii="仿宋_GB2312" w:hAnsi="仿宋_GB2312" w:cs="仿宋_GB2312" w:eastAsia="仿宋_GB2312"/>
              </w:rPr>
              <w:t>响应文件封面 5服务响应偏离表.docx 2商务部分偏离表.docx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本项目概述、建设目标、建设原则，投标人是否对商业健康险就医费用一站式结算平台进行分析，是否明确本项目运维重点，是否能根据过往项目经验对本次项目中可能存在的问题进行合理有据的分析： 满足项目实际需求，无瑕疵：7分； 内容存在1处瑕疵：6分； 内容存在2处瑕疵：5分； 内容存在3处瑕疵：4分； 内容存在4处瑕疵：3分； 内容存在5处瑕疵：2分； 内容存在6处瑕疵：1分； 未提供或内容存在7处及以上瑕疵：0分。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中，针对瑕疵的定义同此处。</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6需求理解.docx</w:t>
            </w:r>
          </w:p>
        </w:tc>
      </w:tr>
      <w:tr>
        <w:tc>
          <w:tcPr>
            <w:tcW w:type="dxa" w:w="831"/>
            <w:vMerge/>
          </w:tcPr>
          <w:p/>
        </w:tc>
        <w:tc>
          <w:tcPr>
            <w:tcW w:type="dxa" w:w="1661"/>
          </w:tcPr>
          <w:p>
            <w:pPr>
              <w:pStyle w:val="null3"/>
            </w:pPr>
            <w:r>
              <w:rPr>
                <w:rFonts w:ascii="仿宋_GB2312" w:hAnsi="仿宋_GB2312" w:cs="仿宋_GB2312" w:eastAsia="仿宋_GB2312"/>
              </w:rPr>
              <w:t>项目运营维护方案</w:t>
            </w:r>
          </w:p>
        </w:tc>
        <w:tc>
          <w:tcPr>
            <w:tcW w:type="dxa" w:w="2492"/>
          </w:tcPr>
          <w:p>
            <w:pPr>
              <w:pStyle w:val="null3"/>
            </w:pPr>
            <w:r>
              <w:rPr>
                <w:rFonts w:ascii="仿宋_GB2312" w:hAnsi="仿宋_GB2312" w:cs="仿宋_GB2312" w:eastAsia="仿宋_GB2312"/>
              </w:rPr>
              <w:t>根据服务方案是否符合采购文件中的技术要求，是否做到合规可用、安全稳定、及时有效全面无缺项。技术路径、服务流程是否符合要求： 满足项目实际需求，无瑕疵：8分；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7项目运营维护方案.docx</w:t>
            </w:r>
          </w:p>
        </w:tc>
      </w:tr>
      <w:tr>
        <w:tc>
          <w:tcPr>
            <w:tcW w:type="dxa" w:w="831"/>
            <w:vMerge/>
          </w:tcPr>
          <w:p/>
        </w:tc>
        <w:tc>
          <w:tcPr>
            <w:tcW w:type="dxa" w:w="1661"/>
          </w:tcPr>
          <w:p>
            <w:pPr>
              <w:pStyle w:val="null3"/>
            </w:pPr>
            <w:r>
              <w:rPr>
                <w:rFonts w:ascii="仿宋_GB2312" w:hAnsi="仿宋_GB2312" w:cs="仿宋_GB2312" w:eastAsia="仿宋_GB2312"/>
              </w:rPr>
              <w:t>信息安全</w:t>
            </w:r>
          </w:p>
        </w:tc>
        <w:tc>
          <w:tcPr>
            <w:tcW w:type="dxa" w:w="2492"/>
          </w:tcPr>
          <w:p>
            <w:pPr>
              <w:pStyle w:val="null3"/>
            </w:pPr>
            <w:r>
              <w:rPr>
                <w:rFonts w:ascii="仿宋_GB2312" w:hAnsi="仿宋_GB2312" w:cs="仿宋_GB2312" w:eastAsia="仿宋_GB2312"/>
              </w:rPr>
              <w:t>对照采购需求中的“信息安全要求”部分提供信息安全方案，能够满足采购人要求，根据响应情况：满足项目实际需求，无瑕疵：8分；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8信息安全.docx</w:t>
            </w:r>
          </w:p>
        </w:tc>
      </w:tr>
      <w:tr>
        <w:tc>
          <w:tcPr>
            <w:tcW w:type="dxa" w:w="831"/>
            <w:vMerge/>
          </w:tcPr>
          <w:p/>
        </w:tc>
        <w:tc>
          <w:tcPr>
            <w:tcW w:type="dxa" w:w="1661"/>
          </w:tcPr>
          <w:p>
            <w:pPr>
              <w:pStyle w:val="null3"/>
            </w:pPr>
            <w:r>
              <w:rPr>
                <w:rFonts w:ascii="仿宋_GB2312" w:hAnsi="仿宋_GB2312" w:cs="仿宋_GB2312" w:eastAsia="仿宋_GB2312"/>
              </w:rPr>
              <w:t>功能要求</w:t>
            </w:r>
          </w:p>
        </w:tc>
        <w:tc>
          <w:tcPr>
            <w:tcW w:type="dxa" w:w="2492"/>
          </w:tcPr>
          <w:p>
            <w:pPr>
              <w:pStyle w:val="null3"/>
            </w:pPr>
            <w:r>
              <w:rPr>
                <w:rFonts w:ascii="仿宋_GB2312" w:hAnsi="仿宋_GB2312" w:cs="仿宋_GB2312" w:eastAsia="仿宋_GB2312"/>
              </w:rPr>
              <w:t>对照采购需求中的“功能要求”部分，提供方案。需含患者端的功能介绍，包括商保快赔和直赔服务：满足项目实际需求，无瑕疵：8分；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9功能要求.docx</w:t>
            </w:r>
          </w:p>
        </w:tc>
      </w:tr>
      <w:tr>
        <w:tc>
          <w:tcPr>
            <w:tcW w:type="dxa" w:w="831"/>
            <w:vMerge/>
          </w:tcPr>
          <w:p/>
        </w:tc>
        <w:tc>
          <w:tcPr>
            <w:tcW w:type="dxa" w:w="1661"/>
          </w:tcPr>
          <w:p>
            <w:pPr>
              <w:pStyle w:val="null3"/>
            </w:pPr>
            <w:r>
              <w:rPr>
                <w:rFonts w:ascii="仿宋_GB2312" w:hAnsi="仿宋_GB2312" w:cs="仿宋_GB2312" w:eastAsia="仿宋_GB2312"/>
              </w:rPr>
              <w:t>质量承诺</w:t>
            </w:r>
          </w:p>
        </w:tc>
        <w:tc>
          <w:tcPr>
            <w:tcW w:type="dxa" w:w="2492"/>
          </w:tcPr>
          <w:p>
            <w:pPr>
              <w:pStyle w:val="null3"/>
            </w:pPr>
            <w:r>
              <w:rPr>
                <w:rFonts w:ascii="仿宋_GB2312" w:hAnsi="仿宋_GB2312" w:cs="仿宋_GB2312" w:eastAsia="仿宋_GB2312"/>
              </w:rPr>
              <w:t>提供详细具体可行的质量保障体系、质量保障方案及承诺，根据响应情况：满足项目实际需求，无瑕疵：8分；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10质量承诺.docx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项目负责人具备工业和信息化部认证的《信息系统项目管理师》资格，得3分。 注：提供人员的证书复印件。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11项目负责人.docx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项目组人员配置合理，专业齐全，并具备相关工作经验，提供相关证明材料，根据响应情况：满足项目实际需求，无瑕疵：8分； 内容存在1处瑕疵：6分； 内容存在2处瑕疵：4分； 内容存在3处瑕疵：2分；未提供或内容存在4处及以上瑕疵：0分。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12人员配置.docx</w:t>
            </w:r>
          </w:p>
        </w:tc>
      </w:tr>
      <w:tr>
        <w:tc>
          <w:tcPr>
            <w:tcW w:type="dxa" w:w="831"/>
            <w:vMerge/>
          </w:tcPr>
          <w:p/>
        </w:tc>
        <w:tc>
          <w:tcPr>
            <w:tcW w:type="dxa" w:w="1661"/>
          </w:tcPr>
          <w:p>
            <w:pPr>
              <w:pStyle w:val="null3"/>
            </w:pPr>
            <w:r>
              <w:rPr>
                <w:rFonts w:ascii="仿宋_GB2312" w:hAnsi="仿宋_GB2312" w:cs="仿宋_GB2312" w:eastAsia="仿宋_GB2312"/>
              </w:rPr>
              <w:t>安全管理</w:t>
            </w:r>
          </w:p>
        </w:tc>
        <w:tc>
          <w:tcPr>
            <w:tcW w:type="dxa" w:w="2492"/>
          </w:tcPr>
          <w:p>
            <w:pPr>
              <w:pStyle w:val="null3"/>
            </w:pPr>
            <w:r>
              <w:rPr>
                <w:rFonts w:ascii="仿宋_GB2312" w:hAnsi="仿宋_GB2312" w:cs="仿宋_GB2312" w:eastAsia="仿宋_GB2312"/>
              </w:rPr>
              <w:t>建立完善的安全管理措施，加强信息系统安全的管理工作，根据响应情况：满足项目实际需求，无瑕疵：8分；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13安全管理.docx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供应商针对可能出现的问题及突发事件，有具体可行的应急措施和解决方案，内容包括但不限于服务响应时间、备份恢复、定期巡查、故障诊断、特殊时段运行保障、应急预案等。根据响应情况：满足项目实际需求，无瑕疵：7分； 内容存在1处瑕疵：6分； 内容存在2处瑕疵：5分； 内容存在3处瑕疵：4分； 内容存在4处瑕疵：3分； 内容存在5处瑕疵：2分； 内容存在6处瑕疵：1分； 未提供或内容存在7处及以上瑕疵：0分。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14应急措施.docx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针对本项目及采购人实际需求提供详细具体可行的培训计划，负责为采购人培训操作维护人员，并有完整的培训方案，列出详细的培训内容、培训方式等说明。根据响应情况：满足项目实际需求，无瑕疵：5分；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15培训方案.docx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供应商针对本项目提供服务承诺，包括服务运营人员经验水平、服务跟踪计划、系统维护、系统故障补救措施、技术支持等，根据响应情况：满足项目实际需求，无瑕疵：5分；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提供近三年（2022年6月至今，以合同签订为准）的类似项目业绩，每提供一个计2分，满分10分。（须在投标文件中提供合同的复印件加盖公章，否则不计分。）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17业绩.docx</w:t>
            </w:r>
          </w:p>
        </w:tc>
      </w:tr>
      <w:tr>
        <w:tc>
          <w:tcPr>
            <w:tcW w:type="dxa" w:w="831"/>
            <w:vMerge/>
          </w:tcPr>
          <w:p/>
        </w:tc>
        <w:tc>
          <w:tcPr>
            <w:tcW w:type="dxa" w:w="1661"/>
          </w:tcPr>
          <w:p>
            <w:pPr>
              <w:pStyle w:val="null3"/>
            </w:pPr>
            <w:r>
              <w:rPr>
                <w:rFonts w:ascii="仿宋_GB2312" w:hAnsi="仿宋_GB2312" w:cs="仿宋_GB2312" w:eastAsia="仿宋_GB2312"/>
              </w:rPr>
              <w:t>合作证明</w:t>
            </w:r>
          </w:p>
        </w:tc>
        <w:tc>
          <w:tcPr>
            <w:tcW w:type="dxa" w:w="2492"/>
          </w:tcPr>
          <w:p>
            <w:pPr>
              <w:pStyle w:val="null3"/>
            </w:pPr>
            <w:r>
              <w:rPr>
                <w:rFonts w:ascii="仿宋_GB2312" w:hAnsi="仿宋_GB2312" w:cs="仿宋_GB2312" w:eastAsia="仿宋_GB2312"/>
              </w:rPr>
              <w:t>投标人具有与保险公司关于商保理赔相关的合作证明文件，每提供一家合作的保险公司得1分，最高5分；不提供不得分 。(合作证明文件可以是合作协议，需提供合作协议内容及盖章页)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18合作证明.docx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价格分统一采用低价优先法计算，即满足磋商文件要求且响应价格最低的磋商报价为评标基准价，其价格分为满分。其他供应商的价格分统一按照下列公式计算：价格分= (评标基准价／磋商报价)×报价分值 注：1、计算分数时四舍五入取小数点后两位。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详见附件：5服务响应偏离表.docx</w:t>
      </w:r>
    </w:p>
    <w:p>
      <w:pPr>
        <w:pStyle w:val="null3"/>
        <w:ind w:firstLine="960"/>
      </w:pPr>
      <w:r>
        <w:rPr>
          <w:rFonts w:ascii="仿宋_GB2312" w:hAnsi="仿宋_GB2312" w:cs="仿宋_GB2312" w:eastAsia="仿宋_GB2312"/>
        </w:rPr>
        <w:t>详见附件：6需求理解.docx</w:t>
      </w:r>
    </w:p>
    <w:p>
      <w:pPr>
        <w:pStyle w:val="null3"/>
        <w:ind w:firstLine="960"/>
      </w:pPr>
      <w:r>
        <w:rPr>
          <w:rFonts w:ascii="仿宋_GB2312" w:hAnsi="仿宋_GB2312" w:cs="仿宋_GB2312" w:eastAsia="仿宋_GB2312"/>
        </w:rPr>
        <w:t>详见附件：7项目运营维护方案.docx</w:t>
      </w:r>
    </w:p>
    <w:p>
      <w:pPr>
        <w:pStyle w:val="null3"/>
        <w:ind w:firstLine="960"/>
      </w:pPr>
      <w:r>
        <w:rPr>
          <w:rFonts w:ascii="仿宋_GB2312" w:hAnsi="仿宋_GB2312" w:cs="仿宋_GB2312" w:eastAsia="仿宋_GB2312"/>
        </w:rPr>
        <w:t>详见附件：8信息安全.docx</w:t>
      </w:r>
    </w:p>
    <w:p>
      <w:pPr>
        <w:pStyle w:val="null3"/>
        <w:ind w:firstLine="960"/>
      </w:pPr>
      <w:r>
        <w:rPr>
          <w:rFonts w:ascii="仿宋_GB2312" w:hAnsi="仿宋_GB2312" w:cs="仿宋_GB2312" w:eastAsia="仿宋_GB2312"/>
        </w:rPr>
        <w:t>详见附件：9功能要求.docx</w:t>
      </w:r>
    </w:p>
    <w:p>
      <w:pPr>
        <w:pStyle w:val="null3"/>
        <w:ind w:firstLine="960"/>
      </w:pPr>
      <w:r>
        <w:rPr>
          <w:rFonts w:ascii="仿宋_GB2312" w:hAnsi="仿宋_GB2312" w:cs="仿宋_GB2312" w:eastAsia="仿宋_GB2312"/>
        </w:rPr>
        <w:t>详见附件：10质量承诺.docx</w:t>
      </w:r>
    </w:p>
    <w:p>
      <w:pPr>
        <w:pStyle w:val="null3"/>
        <w:ind w:firstLine="960"/>
      </w:pPr>
      <w:r>
        <w:rPr>
          <w:rFonts w:ascii="仿宋_GB2312" w:hAnsi="仿宋_GB2312" w:cs="仿宋_GB2312" w:eastAsia="仿宋_GB2312"/>
        </w:rPr>
        <w:t>详见附件：11项目负责人.docx</w:t>
      </w:r>
    </w:p>
    <w:p>
      <w:pPr>
        <w:pStyle w:val="null3"/>
        <w:ind w:firstLine="960"/>
      </w:pPr>
      <w:r>
        <w:rPr>
          <w:rFonts w:ascii="仿宋_GB2312" w:hAnsi="仿宋_GB2312" w:cs="仿宋_GB2312" w:eastAsia="仿宋_GB2312"/>
        </w:rPr>
        <w:t>详见附件：12人员配置.docx</w:t>
      </w:r>
    </w:p>
    <w:p>
      <w:pPr>
        <w:pStyle w:val="null3"/>
        <w:ind w:firstLine="960"/>
      </w:pPr>
      <w:r>
        <w:rPr>
          <w:rFonts w:ascii="仿宋_GB2312" w:hAnsi="仿宋_GB2312" w:cs="仿宋_GB2312" w:eastAsia="仿宋_GB2312"/>
        </w:rPr>
        <w:t>详见附件：13安全管理.docx</w:t>
      </w:r>
    </w:p>
    <w:p>
      <w:pPr>
        <w:pStyle w:val="null3"/>
        <w:ind w:firstLine="960"/>
      </w:pPr>
      <w:r>
        <w:rPr>
          <w:rFonts w:ascii="仿宋_GB2312" w:hAnsi="仿宋_GB2312" w:cs="仿宋_GB2312" w:eastAsia="仿宋_GB2312"/>
        </w:rPr>
        <w:t>详见附件：14应急措施.docx</w:t>
      </w:r>
    </w:p>
    <w:p>
      <w:pPr>
        <w:pStyle w:val="null3"/>
        <w:ind w:firstLine="960"/>
      </w:pPr>
      <w:r>
        <w:rPr>
          <w:rFonts w:ascii="仿宋_GB2312" w:hAnsi="仿宋_GB2312" w:cs="仿宋_GB2312" w:eastAsia="仿宋_GB2312"/>
        </w:rPr>
        <w:t>详见附件：15培训方案.docx</w:t>
      </w:r>
    </w:p>
    <w:p>
      <w:pPr>
        <w:pStyle w:val="null3"/>
        <w:ind w:firstLine="960"/>
      </w:pPr>
      <w:r>
        <w:rPr>
          <w:rFonts w:ascii="仿宋_GB2312" w:hAnsi="仿宋_GB2312" w:cs="仿宋_GB2312" w:eastAsia="仿宋_GB2312"/>
        </w:rPr>
        <w:t>详见附件：16服务承诺.docx</w:t>
      </w:r>
    </w:p>
    <w:p>
      <w:pPr>
        <w:pStyle w:val="null3"/>
        <w:ind w:firstLine="960"/>
      </w:pPr>
      <w:r>
        <w:rPr>
          <w:rFonts w:ascii="仿宋_GB2312" w:hAnsi="仿宋_GB2312" w:cs="仿宋_GB2312" w:eastAsia="仿宋_GB2312"/>
        </w:rPr>
        <w:t>详见附件：17业绩.docx</w:t>
      </w:r>
    </w:p>
    <w:p>
      <w:pPr>
        <w:pStyle w:val="null3"/>
        <w:ind w:firstLine="960"/>
      </w:pPr>
      <w:r>
        <w:rPr>
          <w:rFonts w:ascii="仿宋_GB2312" w:hAnsi="仿宋_GB2312" w:cs="仿宋_GB2312" w:eastAsia="仿宋_GB2312"/>
        </w:rPr>
        <w:t>详见附件：18合作证明.docx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