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版本号：ZBZB-2025-264320250620001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阎良校区垃圾收集转运站建设项目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ZBZB-2025-2643</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阎良校区垃圾收集转运站建设项目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阎良校区垃圾收集转运站建设项目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西安航空学院阎良校区垃圾收集转运站建设项目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采购包1（阎良校区垃圾收集转运站建设项目）：属于专门面向中小企业采购。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供应商应为合法注册的法人、其他组织或自然人，具备独立承担民事责任的能力，并提供营业执照（或事业法人证）、组织机构代码证、税务登记证或统一社会信用代码的营业执照等证明文件；</w:t>
      </w:r>
    </w:p>
    <w:p>
      <w:pPr>
        <w:pStyle w:val="null3"/>
      </w:pPr>
      <w:r>
        <w:rPr>
          <w:rFonts w:ascii="仿宋_GB2312" w:hAnsi="仿宋_GB2312" w:cs="仿宋_GB2312" w:eastAsia="仿宋_GB2312"/>
        </w:rPr>
        <w:t>2、法定代表人授权书：供应商应授权合法人员参与投标全过程，法定代表人直接参与的，须提供法人身份证，且信息与营业执照一致；法定代表人授权代表参与的，须提供法定代表人授权书及授权代表身份证；</w:t>
      </w:r>
    </w:p>
    <w:p>
      <w:pPr>
        <w:pStyle w:val="null3"/>
      </w:pPr>
      <w:r>
        <w:rPr>
          <w:rFonts w:ascii="仿宋_GB2312" w:hAnsi="仿宋_GB2312" w:cs="仿宋_GB2312" w:eastAsia="仿宋_GB2312"/>
        </w:rPr>
        <w:t>3、财务状况报告：提供近两年度经审计的财务会计报告（包括审计报告、资产负债表、利润表、现金流量表、所有者权益变动表及其附注，成立时间至提交投标文件截止时间不足一年的可提供成立后任意时段的资产负债表），或开标前三个月内基本存款账户开户银行出具的资信证明，或信用担保机构出具的投标担保函（以上三种资料任选其一）；</w:t>
      </w:r>
    </w:p>
    <w:p>
      <w:pPr>
        <w:pStyle w:val="null3"/>
      </w:pPr>
      <w:r>
        <w:rPr>
          <w:rFonts w:ascii="仿宋_GB2312" w:hAnsi="仿宋_GB2312" w:cs="仿宋_GB2312" w:eastAsia="仿宋_GB2312"/>
        </w:rPr>
        <w:t>4、税收缴纳证明：提供2025年1月1日以来至少一个月的纳税证明或完税证明（至少提供增值税、企业所得税中的一种），证明上须有代收机构或税务机关的公章或业务专用章。依法免税的投标人应提供相关文件证明；</w:t>
      </w:r>
    </w:p>
    <w:p>
      <w:pPr>
        <w:pStyle w:val="null3"/>
      </w:pPr>
      <w:r>
        <w:rPr>
          <w:rFonts w:ascii="仿宋_GB2312" w:hAnsi="仿宋_GB2312" w:cs="仿宋_GB2312" w:eastAsia="仿宋_GB2312"/>
        </w:rPr>
        <w:t>5、社会保障资金缴纳证明：提供2025年1月1日以来至少一个月的社会保障资金缴存单据或社保机构开具的社会保险参保缴费情况证明。依法无需缴纳社会保障资金的投标人应提供相关文件证明；</w:t>
      </w:r>
    </w:p>
    <w:p>
      <w:pPr>
        <w:pStyle w:val="null3"/>
      </w:pPr>
      <w:r>
        <w:rPr>
          <w:rFonts w:ascii="仿宋_GB2312" w:hAnsi="仿宋_GB2312" w:cs="仿宋_GB2312" w:eastAsia="仿宋_GB2312"/>
        </w:rPr>
        <w:t>6、信用要求：提供《供应商信用记录书面声明函》。经查，投标人未被列入“信用中国”网站的“失信被执行人”或“重大税收违法案件当事人”名单；且不处于“中国政府采购网”记录的“政府采购严重违法失信行为记录名单”中的禁止参加政府采购活动期间；</w:t>
      </w:r>
    </w:p>
    <w:p>
      <w:pPr>
        <w:pStyle w:val="null3"/>
      </w:pPr>
      <w:r>
        <w:rPr>
          <w:rFonts w:ascii="仿宋_GB2312" w:hAnsi="仿宋_GB2312" w:cs="仿宋_GB2312" w:eastAsia="仿宋_GB2312"/>
        </w:rPr>
        <w:t>7、供应商资格：投标供应商须具备建筑施工总承包三级以上（含三级）资质或钢结构工程专业承包三级以上（含三级）资质，并具备有效的安全生产许可证；</w:t>
      </w:r>
    </w:p>
    <w:p>
      <w:pPr>
        <w:pStyle w:val="null3"/>
      </w:pPr>
      <w:r>
        <w:rPr>
          <w:rFonts w:ascii="仿宋_GB2312" w:hAnsi="仿宋_GB2312" w:cs="仿宋_GB2312" w:eastAsia="仿宋_GB2312"/>
        </w:rPr>
        <w:t>8、项目经理资格要求：拟派驻本项目的项目经理须具备建设行政主管部门颁发的建筑工程专业二级以上（含二级）注册建造师证书和建安B证，并提供无在建工程承诺书；</w:t>
      </w:r>
    </w:p>
    <w:p>
      <w:pPr>
        <w:pStyle w:val="null3"/>
      </w:pPr>
      <w:r>
        <w:rPr>
          <w:rFonts w:ascii="仿宋_GB2312" w:hAnsi="仿宋_GB2312" w:cs="仿宋_GB2312" w:eastAsia="仿宋_GB2312"/>
        </w:rPr>
        <w:t>9、平台登记：外省企业须在陕西省建筑市场监管与诚信信息一体化平台登记（提供证明材料）；</w:t>
      </w:r>
    </w:p>
    <w:p>
      <w:pPr>
        <w:pStyle w:val="null3"/>
      </w:pPr>
      <w:r>
        <w:rPr>
          <w:rFonts w:ascii="仿宋_GB2312" w:hAnsi="仿宋_GB2312" w:cs="仿宋_GB2312" w:eastAsia="仿宋_GB2312"/>
        </w:rPr>
        <w:t>10、控股关系要求：单位负责人为同一人或者存在直接控股、管理关系的不同供应商，不得同时参与本采购项目响应；</w:t>
      </w:r>
    </w:p>
    <w:p>
      <w:pPr>
        <w:pStyle w:val="null3"/>
      </w:pPr>
      <w:r>
        <w:rPr>
          <w:rFonts w:ascii="仿宋_GB2312" w:hAnsi="仿宋_GB2312" w:cs="仿宋_GB2312" w:eastAsia="仿宋_GB2312"/>
        </w:rPr>
        <w:t>11、其他要求：为本项目提供整体设计、规范编制或者项目管理、监理、检测等服务的供应商，不得再参与本项目响应；</w:t>
      </w:r>
    </w:p>
    <w:p>
      <w:pPr>
        <w:pStyle w:val="null3"/>
      </w:pPr>
      <w:r>
        <w:rPr>
          <w:rFonts w:ascii="仿宋_GB2312" w:hAnsi="仿宋_GB2312" w:cs="仿宋_GB2312" w:eastAsia="仿宋_GB2312"/>
        </w:rPr>
        <w:t>12、其他要求：已登记报名并获取本项目采购文件。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本采购包履约保证金为合同金额的4%</w:t>
            </w:r>
          </w:p>
          <w:p>
            <w:pPr>
              <w:pStyle w:val="null3"/>
            </w:pPr>
            <w:r>
              <w:rPr>
                <w:rFonts w:ascii="仿宋_GB2312" w:hAnsi="仿宋_GB2312" w:cs="仿宋_GB2312" w:eastAsia="仿宋_GB2312"/>
              </w:rPr>
              <w:t>说明：合同签订后10个工作日内向学校缴纳20000.00元为履约保证金，待项目验收后无息返还 。</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代理服务费收费标准：按照国家计委颁布的《招标代理服务收费管理暂行办法》(计价格[2002]1980号)文件为依据计代理服务费; 名称：陕西正邦招标有限责任公司 开户行：平安银行西安分行营业部 账号：30205380001890 备注：请注明费用信息“ZBZB-2025-2643磋商服务费”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踏勘时间：2025-06-28 15:00:00</w:t>
            </w:r>
          </w:p>
          <w:p>
            <w:pPr>
              <w:pStyle w:val="null3"/>
              <w:ind w:firstLine="975"/>
            </w:pPr>
            <w:r>
              <w:rPr>
                <w:rFonts w:ascii="仿宋_GB2312" w:hAnsi="仿宋_GB2312" w:cs="仿宋_GB2312" w:eastAsia="仿宋_GB2312"/>
              </w:rPr>
              <w:t>踏勘地点：西安航空学院阎良校区</w:t>
            </w:r>
          </w:p>
          <w:p>
            <w:pPr>
              <w:pStyle w:val="null3"/>
              <w:ind w:firstLine="975"/>
            </w:pPr>
            <w:r>
              <w:rPr>
                <w:rFonts w:ascii="仿宋_GB2312" w:hAnsi="仿宋_GB2312" w:cs="仿宋_GB2312" w:eastAsia="仿宋_GB2312"/>
              </w:rPr>
              <w:t>联系人：郑老师</w:t>
            </w:r>
          </w:p>
          <w:p>
            <w:pPr>
              <w:pStyle w:val="null3"/>
              <w:ind w:firstLine="975"/>
            </w:pPr>
            <w:r>
              <w:rPr>
                <w:rFonts w:ascii="仿宋_GB2312" w:hAnsi="仿宋_GB2312" w:cs="仿宋_GB2312" w:eastAsia="仿宋_GB2312"/>
              </w:rPr>
              <w:t>联系电话号码：15091371192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联系人：张哲</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阎良校区垃圾收集转运站建设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标的名称：阎良校区垃圾收集转运站建设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rPr>
              <w:t>一、工程概况：</w:t>
            </w:r>
          </w:p>
          <w:p>
            <w:pPr>
              <w:pStyle w:val="null3"/>
            </w:pP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项目概述：</w:t>
            </w:r>
          </w:p>
          <w:p>
            <w:pPr>
              <w:pStyle w:val="null3"/>
            </w:pPr>
            <w:r>
              <w:rPr>
                <w:rFonts w:ascii="仿宋_GB2312" w:hAnsi="仿宋_GB2312" w:cs="仿宋_GB2312" w:eastAsia="仿宋_GB2312"/>
              </w:rPr>
              <w:t>拟拆除现有垃圾收集转运站，并综合考虑其南邻和东邻单位的实际情况</w:t>
            </w:r>
            <w:r>
              <w:rPr>
                <w:rFonts w:ascii="仿宋_GB2312" w:hAnsi="仿宋_GB2312" w:cs="仿宋_GB2312" w:eastAsia="仿宋_GB2312"/>
              </w:rPr>
              <w:t>——南邻和东邻均为道路或荒地，同时兼顾阎良区四季风向因素，结合我校具体情况，计划在阎良校区田径场东南角新建一座标准规范的垃圾收集转运站。依据城镇垃圾转运条例等相关规范，该转运站将具备垃圾收集、暂存、压缩、转运等综合功能，确保垃圾处理流程规范高效。此外，将配备除臭、消毒设施，以保持站内空气清新，进一步提升校园环境质量。</w:t>
            </w:r>
          </w:p>
          <w:p>
            <w:pPr>
              <w:pStyle w:val="null3"/>
            </w:pPr>
            <w:r>
              <w:rPr>
                <w:rFonts w:ascii="仿宋_GB2312" w:hAnsi="仿宋_GB2312" w:cs="仿宋_GB2312" w:eastAsia="仿宋_GB2312"/>
              </w:rPr>
              <w:t>垃圾转运站的结构设计需满足垃圾转运作业需求，可选框架结构或钢结构，本项目拟采用钢结构。建筑尺寸约为长</w:t>
            </w:r>
            <w:r>
              <w:rPr>
                <w:rFonts w:ascii="仿宋_GB2312" w:hAnsi="仿宋_GB2312" w:cs="仿宋_GB2312" w:eastAsia="仿宋_GB2312"/>
              </w:rPr>
              <w:t>10</w:t>
            </w:r>
            <w:r>
              <w:rPr>
                <w:rFonts w:ascii="仿宋_GB2312" w:hAnsi="仿宋_GB2312" w:cs="仿宋_GB2312" w:eastAsia="仿宋_GB2312"/>
              </w:rPr>
              <w:t>米、宽</w:t>
            </w:r>
            <w:r>
              <w:rPr>
                <w:rFonts w:ascii="仿宋_GB2312" w:hAnsi="仿宋_GB2312" w:cs="仿宋_GB2312" w:eastAsia="仿宋_GB2312"/>
              </w:rPr>
              <w:t>10</w:t>
            </w:r>
            <w:r>
              <w:rPr>
                <w:rFonts w:ascii="仿宋_GB2312" w:hAnsi="仿宋_GB2312" w:cs="仿宋_GB2312" w:eastAsia="仿宋_GB2312"/>
              </w:rPr>
              <w:t>米、高</w:t>
            </w:r>
            <w:r>
              <w:rPr>
                <w:rFonts w:ascii="仿宋_GB2312" w:hAnsi="仿宋_GB2312" w:cs="仿宋_GB2312" w:eastAsia="仿宋_GB2312"/>
              </w:rPr>
              <w:t>8.5</w:t>
            </w:r>
            <w:r>
              <w:rPr>
                <w:rFonts w:ascii="仿宋_GB2312" w:hAnsi="仿宋_GB2312" w:cs="仿宋_GB2312" w:eastAsia="仿宋_GB2312"/>
              </w:rPr>
              <w:t>米，并将设置给排水系统、污水沉淀设施、消防设备、通风系统及临时管理用房等，以满足阎良区航空基地管委会对垃圾分类及环卫标准的规定。同时，需敷设给水、消防、污水管道至垃圾转运站，确保其正常运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left"/>
            </w:pPr>
            <w:r>
              <w:rPr>
                <w:rFonts w:ascii="仿宋_GB2312" w:hAnsi="仿宋_GB2312" w:cs="仿宋_GB2312" w:eastAsia="仿宋_GB2312"/>
              </w:rPr>
              <w:t>2.</w:t>
            </w:r>
            <w:r>
              <w:rPr>
                <w:rFonts w:ascii="仿宋_GB2312" w:hAnsi="仿宋_GB2312" w:cs="仿宋_GB2312" w:eastAsia="仿宋_GB2312"/>
              </w:rPr>
              <w:t>工程主要内容及预估量</w:t>
            </w:r>
          </w:p>
          <w:p>
            <w:pPr>
              <w:pStyle w:val="null3"/>
            </w:pPr>
            <w:r>
              <w:rPr>
                <w:rFonts w:ascii="仿宋_GB2312" w:hAnsi="仿宋_GB2312" w:cs="仿宋_GB2312" w:eastAsia="仿宋_GB2312"/>
              </w:rPr>
              <w:t>工程主要内容包括：拆除现有垃圾台（移除原有垃圾台并清理建筑垃圾）；建设垃圾转运站（涉及结构、建筑、消防、通风、给排水及电气等施工环节）。</w:t>
            </w:r>
          </w:p>
          <w:p>
            <w:pPr>
              <w:pStyle w:val="null3"/>
              <w:spacing w:before="120" w:after="120"/>
              <w:ind w:firstLine="560"/>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sz w:val="20"/>
              </w:rPr>
              <w:t>分部分项工程量清单（详见附件）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）本招标工程项目的材料、设备、施工均须达到中华人民共和国现行及省、自治区、直辖市或行业的工程建设标准、强制性条文、规范的要求。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）若项目的材料、设备、施工无上述标准，订货、采购及施工、安装时，应提供生产厂家或施工企业、安装企业在技术监督部门备案的企业标准，并经监理单位和采购人认定质量合格后方可实施。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）施工单位须遵循后勤管理部门规定，经采购人同意可使用水电，并安装独立计量装置计量缴费，相关费用由施工方承担。电费按</w:t>
            </w:r>
            <w:r>
              <w:rPr>
                <w:rFonts w:ascii="仿宋_GB2312" w:hAnsi="仿宋_GB2312" w:cs="仿宋_GB2312" w:eastAsia="仿宋_GB2312"/>
                <w:sz w:val="20"/>
              </w:rPr>
              <w:t>1.00</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度、水费按</w:t>
            </w:r>
            <w:r>
              <w:rPr>
                <w:rFonts w:ascii="仿宋_GB2312" w:hAnsi="仿宋_GB2312" w:cs="仿宋_GB2312" w:eastAsia="仿宋_GB2312"/>
                <w:sz w:val="20"/>
              </w:rPr>
              <w:t>5.8</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吨收取。施工前须办理用水用电手续并缴纳保证金，工程完工且结清水电费后，保证金无息退还。</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）工期及总造价已明确，供应商在响应时应合理确定赶工措施费，确保成交后不因赶工向发包人提出额外经济补偿。</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）施工过程中如遇其他工程交叉，应主动沟通协调，无条件服从校方安排。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）工程资料收集整理须与施工进度同步，确保顺利通过竣工验收，按时提交完整资料。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）施工须满足政府相关部门要求，尽量减少对周边环境影响。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）建筑垃圾严禁长时间校内堆放，应及时外运并铺设防尘网；外运须遵守《西安市建筑垃圾管理条例》等相关规定，并负责与街办、城管等部门协调。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）材料进场需实施三方联合验收</w:t>
            </w:r>
            <w:r>
              <w:rPr>
                <w:rFonts w:ascii="仿宋_GB2312" w:hAnsi="仿宋_GB2312" w:cs="仿宋_GB2312" w:eastAsia="仿宋_GB2312"/>
                <w:sz w:val="20"/>
              </w:rPr>
              <w:t>，否则不可用于本工程</w:t>
            </w:r>
            <w:r>
              <w:rPr>
                <w:rFonts w:ascii="仿宋_GB2312" w:hAnsi="仿宋_GB2312" w:cs="仿宋_GB2312" w:eastAsia="仿宋_GB2312"/>
                <w:sz w:val="20"/>
              </w:rPr>
              <w:t>。此外，钢结构、电线电缆等材料须依照国家相关政策进行复检。</w:t>
            </w:r>
            <w:r>
              <w:rPr>
                <w:rFonts w:ascii="仿宋_GB2312" w:hAnsi="仿宋_GB2312" w:cs="仿宋_GB2312" w:eastAsia="仿宋_GB2312"/>
                <w:sz w:val="20"/>
              </w:rPr>
              <w:t>地基与基础、消防工程、</w:t>
            </w:r>
            <w:r>
              <w:rPr>
                <w:rFonts w:ascii="仿宋_GB2312" w:hAnsi="仿宋_GB2312" w:cs="仿宋_GB2312" w:eastAsia="仿宋_GB2312"/>
                <w:sz w:val="20"/>
              </w:rPr>
              <w:t>防火等级的检测则需委托校方指定的第三方检测机构进行，相关费用由施工单位负责承担。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）项目完工后，需进行全面保洁，达到</w:t>
            </w:r>
            <w:r>
              <w:rPr>
                <w:rFonts w:ascii="仿宋_GB2312" w:hAnsi="仿宋_GB2312" w:cs="仿宋_GB2312" w:eastAsia="仿宋_GB2312"/>
                <w:sz w:val="20"/>
              </w:rPr>
              <w:t>“工完、料净、场地清”标准。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）乙方须按法律法规及合同约定完成施工，并在竣工后的缺陷责任期及质量保修期内承担保修责任。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）质量标准：合格。</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5、质保期：本项目竣工验收合格通过之日起</w:t>
            </w:r>
            <w:r>
              <w:rPr>
                <w:rFonts w:ascii="仿宋_GB2312" w:hAnsi="仿宋_GB2312" w:cs="仿宋_GB2312" w:eastAsia="仿宋_GB2312"/>
                <w:sz w:val="21"/>
              </w:rPr>
              <w:t>2年；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6、质量要求：</w:t>
            </w:r>
            <w:r>
              <w:rPr>
                <w:rFonts w:ascii="仿宋_GB2312" w:hAnsi="仿宋_GB2312" w:cs="仿宋_GB2312" w:eastAsia="仿宋_GB2312"/>
              </w:rPr>
              <w:t>施工要求的质量标准：达到现行</w:t>
            </w:r>
            <w:r>
              <w:rPr>
                <w:rFonts w:ascii="仿宋_GB2312" w:hAnsi="仿宋_GB2312" w:cs="仿宋_GB2312" w:eastAsia="仿宋_GB2312"/>
              </w:rPr>
              <w:t>“合格”标准，符合国家、行业、地方规定以及磋商文件规定的质量和安全标准要求。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生活垃圾转运站技术规范CJJ47-2006 2 建设工程质量管理条例 3 钢结构设计规范 GB50017-2017  4 建筑给水排水与节水通用规范 GB 55020-2021 5 消防设施通用规范 GB 55036-2022 6 建筑电气工程施工质量验收规范 GB50303-2015 7 通风与空调工程施工质量验收规范 GB-50243-2016</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招标工程项目包含设计和施工两部分，施工图设计须由专业设计公司完成，且必须符合现行设计规范及行业标准。施工图纸需经校方审核通过。项目的材料、设备、施工均须达到中华人民共和国现行及省、自治区、直辖市或行业的工程建设标准、强制性条文、规范的要求。 （2）若项目的材料、设备、施工无上述标准，订货、采购及施工、安装时，应提供生产厂家或施工企业、安装企业在技术监督部门备案的企业标准，并经监理单位和采购人认定质量合格后方可实施。 （3）施工单位须遵循后勤管理部门规定，经采购人同意可使用水电，并安装独立计量装置计量缴费，相关费用由施工方承担。电费按1.00元/度、水费按5.8元/吨收取。施工前须办理用水用电手续并缴纳保证金，工程完工且结清水电费后，保证金无息退还。 （4）工期及总造价已明确，供应商在响应时应合理确定赶工措施费，确保成交后不因赶工向发包人提出额外经济补偿。 （5）施工过程中如遇其他工程交叉，应主动沟通协调，无条件服从校方安排。 （6）工程资料收集整理须与施工进度同步，确保顺利通过竣工验收，按时提交完整资料。 （7）施工须满足政府相关部门要求，尽量减少对周边环境影响。 （8）建筑垃圾严禁长时间校内堆放，应及时外运并铺设防尘网；外运须遵守《西安市建筑垃圾管理条例》等相关规定，并负责与街办、城管等部门协调。 （9）材料进场需实施三方联合验收，否则不可用于本工程。此外，钢结构、电线电缆等材料须依照国家相关政策进行复检。地基与基础、消防工程、防火等级的检测则需委托校方指定的第三方检测机构进行，相关费用由施工单位负责承担。 （10）项目完工后，需进行全面保洁，达到“工完、料净、场地清”标准。 （11）乙方须按法律法规及合同约定完成施工，并在竣工后的缺陷责任期及质量保修期内承担保修责任。 （12）质量标准：合格。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电子版壹份，纸质投标文件正副本分别胶装，标明供应商名称密封递交，开标结束后两个工作日递交至指定地点，线下递交文件地点：西安市雁塔区朱雀大街南段69号长丰园三区5号楼9层9006室。 因本项目需要踏勘，请各供应商于2025年6月28日12点前确认是否参加踏勘并将踏勘确认表发送至815262815@qq.com，现场踏勘须携带本单位介绍信。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投标供应商应为合法注册的法人、其他组织或自然人，具备独立承担民事责任的能力，并提供营业执照（或事业法人证）、组织机构代码证、税务登记证或统一社会信用代码的营业执照等证明文件；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供应商应授权合法人员参与投标全过程，法定代表人直接参与的，须提供法人身份证，且信息与营业执照一致；法定代表人授权代表参与的，须提供法定代表人授权书及授权代表身份证；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两年度经审计的财务会计报告（包括审计报告、资产负债表、利润表、现金流量表、所有者权益变动表及其附注，成立时间至提交投标文件截止时间不足一年的可提供成立后任意时段的资产负债表），或开标前三个月内基本存款账户开户银行出具的资信证明，或信用担保机构出具的投标担保函（以上三种资料任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提供2025年1月1日以来至少一个月的纳税证明或完税证明（至少提供增值税、企业所得税中的一种），证明上须有代收机构或税务机关的公章或业务专用章。依法免税的投标人应提供相关文件证明；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提供2025年1月1日以来至少一个月的社会保障资金缴存单据或社保机构开具的社会保险参保缴费情况证明。依法无需缴纳社会保障资金的投标人应提供相关文件证明；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提供《供应商信用记录书面声明函》。经查，投标人未被列入“信用中国”网站的“失信被执行人”或“重大税收违法案件当事人”名单；且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投标供应商须具备建筑施工总承包三级以上（含三级）资质或钢结构工程专业承包三级以上（含三级）资质，并具备有效的安全生产许可证；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拟派驻本项目的项目经理须具备建设行政主管部门颁发的建筑工程专业二级以上（含二级）注册建造师证书和建安B证，并提供无在建工程承诺书；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平台登记</w:t>
            </w:r>
          </w:p>
        </w:tc>
        <w:tc>
          <w:tcPr>
            <w:tcW w:type="dxa" w:w="3322"/>
          </w:tcPr>
          <w:p>
            <w:pPr>
              <w:pStyle w:val="null3"/>
            </w:pPr>
            <w:r>
              <w:rPr>
                <w:rFonts w:ascii="仿宋_GB2312" w:hAnsi="仿宋_GB2312" w:cs="仿宋_GB2312" w:eastAsia="仿宋_GB2312"/>
              </w:rPr>
              <w:t>外省企业须在陕西省建筑市场监管与诚信信息一体化平台登记（提供证明材料）；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控股关系要求</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已登记报名并获取本项目采购文件。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总体施工方案和方法</w:t>
            </w:r>
          </w:p>
        </w:tc>
        <w:tc>
          <w:tcPr>
            <w:tcW w:type="dxa" w:w="2492"/>
          </w:tcPr>
          <w:p>
            <w:pPr>
              <w:pStyle w:val="null3"/>
            </w:pPr>
            <w:r>
              <w:rPr>
                <w:rFonts w:ascii="仿宋_GB2312" w:hAnsi="仿宋_GB2312" w:cs="仿宋_GB2312" w:eastAsia="仿宋_GB2312"/>
              </w:rPr>
              <w:t>总体施工方案合理、措施得当计4.1-7分；方案基本合理、措施一般计1.1-4分；合理性较差措施不得当得 0-1分；未提供不得分 。</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施工进度计划及保证方案</w:t>
            </w:r>
          </w:p>
        </w:tc>
        <w:tc>
          <w:tcPr>
            <w:tcW w:type="dxa" w:w="2492"/>
          </w:tcPr>
          <w:p>
            <w:pPr>
              <w:pStyle w:val="null3"/>
            </w:pPr>
            <w:r>
              <w:rPr>
                <w:rFonts w:ascii="仿宋_GB2312" w:hAnsi="仿宋_GB2312" w:cs="仿宋_GB2312" w:eastAsia="仿宋_GB2312"/>
              </w:rPr>
              <w:t>具有明确的施工进度表，进度计划合理、保证方案有力计4.1-6分；施工进度计划较清晰、方案一般计2.1-4分 ；施工进度计划不清晰、措施简单 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确保安全生产的方案</w:t>
            </w:r>
          </w:p>
        </w:tc>
        <w:tc>
          <w:tcPr>
            <w:tcW w:type="dxa" w:w="2492"/>
          </w:tcPr>
          <w:p>
            <w:pPr>
              <w:pStyle w:val="null3"/>
            </w:pPr>
            <w:r>
              <w:rPr>
                <w:rFonts w:ascii="仿宋_GB2312" w:hAnsi="仿宋_GB2312" w:cs="仿宋_GB2312" w:eastAsia="仿宋_GB2312"/>
              </w:rPr>
              <w:t>安全管理体系健全，保证方案合理、可行计4.1-6分；安全管理体系较健全，保障方案一般计2.1-4分；安全管理体系较为可行、针对性不强、内容简单计0-2分；未提供不得分。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文明施工、环境保护方案、施工现场扬尘污染 防治方案</w:t>
            </w:r>
          </w:p>
        </w:tc>
        <w:tc>
          <w:tcPr>
            <w:tcW w:type="dxa" w:w="2492"/>
          </w:tcPr>
          <w:p>
            <w:pPr>
              <w:pStyle w:val="null3"/>
            </w:pPr>
            <w:r>
              <w:rPr>
                <w:rFonts w:ascii="仿宋_GB2312" w:hAnsi="仿宋_GB2312" w:cs="仿宋_GB2312" w:eastAsia="仿宋_GB2312"/>
              </w:rPr>
              <w:t>各项方案合理、保障有力计4.1-6分；各项方案较健全，针对性一般计2.1-4分；各项方案较为可行、针对性不强、内容简单计0-2分；未提供不得分。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 详细合理计3.1-5分；较详细得1.1-3分；较差得0-1分；未提供不得分。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质量管理体系完善，技术组织措施合理、可行计4.1-7分；质量管理体系较完善、技术组织措施一般，不够明确计2.1-4分；质量管理体系较为可行、针对性不强、内容简单计0-2分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施工现场机械配备和材料投入计划合理，符合施工实际需求计4.1-7分； 施工机械配备和材料投入计划一般 ，基本符合施工实际需求的计2.1-4分 ；机械、设备安排简单计0-2分；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 和保证措施合理，可行性高计4.1-6分 ；方案一般、措施不完备计2.1-4分； 可行性、合理性较差得0-2分；未提供不得分。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项目组织管理机构人员配置齐全（ 项目经理、技术负责人、施工人员 等），各专业配备合理、分工及岗位职责清晰计4.1-5分；人员配置充足 ，分工基本明确，职责不够清晰计1.1-4分；人员数量较少，经验不足，证明材料不够详尽计0-1分；未提供不得分。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售后措施及承诺</w:t>
            </w:r>
          </w:p>
        </w:tc>
        <w:tc>
          <w:tcPr>
            <w:tcW w:type="dxa" w:w="2492"/>
          </w:tcPr>
          <w:p>
            <w:pPr>
              <w:pStyle w:val="null3"/>
            </w:pPr>
            <w:r>
              <w:rPr>
                <w:rFonts w:ascii="仿宋_GB2312" w:hAnsi="仿宋_GB2312" w:cs="仿宋_GB2312" w:eastAsia="仿宋_GB2312"/>
              </w:rPr>
              <w:t>项目工作保修期内服务措施，根据响应程度计0-3分；项目保修承诺根据响应程度计0-2分，未提供不得分。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提供供应商2021年10月至磋商截止日期前类似项目业绩，每提供1个得2分，满分10分 (以合同协议书 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 供应商的价格为磋商基准价，其价格分为满分。其他供应商的价格分 统一按照下列公式计算： 磋商报价得分=（磋商基准价/最后磋商报价 ）×30 注：磋商基准价即实质性响应竞争性磋商文件要求的供应商的 最低磋商报价。大于最高限价的磋 商报价在评审过程中报价按无效磋商处理。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